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jc w:val="center"/>
        <w:rPr>
          <w:rFonts w:hint="eastAsia" w:ascii="黑体" w:hAnsi="黑体" w:eastAsia="黑体" w:cs="黑体"/>
          <w:color w:val="auto"/>
          <w:sz w:val="52"/>
          <w:szCs w:val="52"/>
          <w:highlight w:val="none"/>
          <w:lang w:eastAsia="zh-CN"/>
        </w:rPr>
      </w:pPr>
      <w:r>
        <w:rPr>
          <w:rFonts w:hint="eastAsia" w:ascii="黑体" w:hAnsi="黑体" w:eastAsia="黑体" w:cs="黑体"/>
          <w:color w:val="auto"/>
          <w:sz w:val="52"/>
          <w:szCs w:val="52"/>
          <w:highlight w:val="none"/>
          <w:lang w:eastAsia="zh-CN"/>
        </w:rPr>
        <w:t>三门峡市医药总公司</w:t>
      </w:r>
    </w:p>
    <w:p>
      <w:pPr>
        <w:jc w:val="center"/>
        <w:rPr>
          <w:rFonts w:hint="eastAsia" w:ascii="黑体" w:hAnsi="黑体" w:eastAsia="黑体" w:cs="黑体"/>
          <w:color w:val="auto"/>
          <w:sz w:val="52"/>
          <w:szCs w:val="52"/>
          <w:highlight w:val="none"/>
        </w:rPr>
      </w:pPr>
      <w:r>
        <w:rPr>
          <w:rFonts w:hint="eastAsia" w:ascii="黑体" w:hAnsi="黑体" w:eastAsia="黑体" w:cs="黑体"/>
          <w:color w:val="auto"/>
          <w:sz w:val="52"/>
          <w:szCs w:val="52"/>
          <w:highlight w:val="none"/>
          <w:lang w:eastAsia="zh-CN"/>
        </w:rPr>
        <w:t>201</w:t>
      </w:r>
      <w:r>
        <w:rPr>
          <w:rFonts w:hint="eastAsia" w:ascii="黑体" w:hAnsi="黑体" w:eastAsia="黑体" w:cs="黑体"/>
          <w:color w:val="auto"/>
          <w:sz w:val="52"/>
          <w:szCs w:val="52"/>
          <w:highlight w:val="none"/>
          <w:lang w:val="en-US" w:eastAsia="zh-CN"/>
        </w:rPr>
        <w:t>8</w:t>
      </w:r>
      <w:r>
        <w:rPr>
          <w:rFonts w:hint="eastAsia" w:ascii="黑体" w:hAnsi="黑体" w:eastAsia="黑体" w:cs="黑体"/>
          <w:color w:val="auto"/>
          <w:sz w:val="52"/>
          <w:szCs w:val="52"/>
          <w:highlight w:val="none"/>
          <w:lang w:eastAsia="zh-CN"/>
        </w:rPr>
        <w:t>年度</w:t>
      </w:r>
      <w:r>
        <w:rPr>
          <w:rFonts w:hint="eastAsia" w:ascii="黑体" w:hAnsi="黑体" w:eastAsia="黑体" w:cs="黑体"/>
          <w:color w:val="auto"/>
          <w:sz w:val="52"/>
          <w:szCs w:val="52"/>
          <w:highlight w:val="none"/>
        </w:rPr>
        <w:t>部门决算</w:t>
      </w: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36"/>
          <w:szCs w:val="36"/>
          <w:highlight w:val="none"/>
        </w:rPr>
      </w:pPr>
    </w:p>
    <w:p>
      <w:pPr>
        <w:jc w:val="center"/>
        <w:rPr>
          <w:rFonts w:hint="eastAsia" w:ascii="黑体" w:hAnsi="黑体" w:eastAsia="黑体" w:cs="黑体"/>
          <w:color w:val="auto"/>
          <w:sz w:val="36"/>
          <w:szCs w:val="36"/>
          <w:highlight w:val="none"/>
        </w:rPr>
      </w:pPr>
    </w:p>
    <w:p>
      <w:pPr>
        <w:jc w:val="center"/>
        <w:rPr>
          <w:rFonts w:hint="eastAsia" w:ascii="黑体" w:hAnsi="黑体" w:eastAsia="黑体" w:cs="黑体"/>
          <w:color w:val="auto"/>
          <w:sz w:val="36"/>
          <w:szCs w:val="36"/>
          <w:highlight w:val="none"/>
        </w:rPr>
      </w:pPr>
    </w:p>
    <w:p>
      <w:pPr>
        <w:jc w:val="center"/>
        <w:rPr>
          <w:rFonts w:ascii="黑体" w:hAnsi="黑体" w:eastAsia="黑体" w:cs="黑体"/>
          <w:color w:val="auto"/>
          <w:sz w:val="36"/>
          <w:szCs w:val="36"/>
          <w:highlight w:val="none"/>
        </w:rPr>
      </w:pPr>
      <w:r>
        <w:rPr>
          <w:rFonts w:hint="eastAsia" w:ascii="黑体" w:hAnsi="黑体" w:eastAsia="黑体" w:cs="黑体"/>
          <w:color w:val="auto"/>
          <w:sz w:val="36"/>
          <w:szCs w:val="36"/>
          <w:highlight w:val="none"/>
        </w:rPr>
        <w:t>目　　录</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第一部分　　</w:t>
      </w:r>
      <w:r>
        <w:rPr>
          <w:rFonts w:hint="eastAsia" w:ascii="黑体" w:hAnsi="黑体" w:eastAsia="黑体" w:cs="黑体"/>
          <w:color w:val="auto"/>
          <w:sz w:val="32"/>
          <w:szCs w:val="32"/>
          <w:highlight w:val="none"/>
          <w:lang w:eastAsia="zh-CN"/>
        </w:rPr>
        <w:t>三门峡市医药总公司</w:t>
      </w:r>
      <w:r>
        <w:rPr>
          <w:rFonts w:hint="eastAsia" w:ascii="黑体" w:hAnsi="黑体" w:eastAsia="黑体" w:cs="黑体"/>
          <w:color w:val="auto"/>
          <w:sz w:val="32"/>
          <w:szCs w:val="32"/>
          <w:highlight w:val="none"/>
        </w:rPr>
        <w:t>概况</w:t>
      </w:r>
    </w:p>
    <w:p>
      <w:pPr>
        <w:numPr>
          <w:ilvl w:val="0"/>
          <w:numId w:val="1"/>
        </w:numPr>
        <w:ind w:firstLine="640" w:firstLineChars="200"/>
        <w:jc w:val="left"/>
        <w:rPr>
          <w:rFonts w:ascii="宋体" w:hAnsi="宋体" w:eastAsia="宋体" w:cs="宋体"/>
          <w:color w:val="auto"/>
          <w:sz w:val="32"/>
          <w:szCs w:val="32"/>
          <w:highlight w:val="none"/>
        </w:rPr>
      </w:pPr>
      <w:r>
        <w:rPr>
          <w:rFonts w:hint="eastAsia" w:ascii="宋体" w:hAnsi="宋体" w:eastAsia="宋体" w:cs="宋体"/>
          <w:color w:val="auto"/>
          <w:sz w:val="32"/>
          <w:szCs w:val="32"/>
          <w:highlight w:val="none"/>
          <w:lang w:eastAsia="zh-CN"/>
        </w:rPr>
        <w:t>部门职责</w:t>
      </w:r>
    </w:p>
    <w:p>
      <w:pPr>
        <w:numPr>
          <w:ilvl w:val="0"/>
          <w:numId w:val="1"/>
        </w:numPr>
        <w:ind w:firstLine="640" w:firstLineChars="200"/>
        <w:jc w:val="left"/>
        <w:rPr>
          <w:rFonts w:ascii="宋体" w:hAnsi="宋体" w:eastAsia="宋体" w:cs="宋体"/>
          <w:color w:val="auto"/>
          <w:sz w:val="32"/>
          <w:szCs w:val="32"/>
          <w:highlight w:val="none"/>
        </w:rPr>
      </w:pPr>
      <w:r>
        <w:rPr>
          <w:rFonts w:hint="eastAsia" w:ascii="宋体" w:hAnsi="宋体" w:eastAsia="宋体" w:cs="宋体"/>
          <w:color w:val="auto"/>
          <w:sz w:val="32"/>
          <w:szCs w:val="32"/>
          <w:highlight w:val="none"/>
          <w:lang w:eastAsia="zh-CN"/>
        </w:rPr>
        <w:t>机构设置</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第二部分　　</w:t>
      </w:r>
      <w:r>
        <w:rPr>
          <w:rFonts w:hint="eastAsia" w:ascii="黑体" w:hAnsi="黑体" w:eastAsia="黑体" w:cs="黑体"/>
          <w:color w:val="auto"/>
          <w:sz w:val="32"/>
          <w:szCs w:val="32"/>
          <w:highlight w:val="none"/>
          <w:lang w:eastAsia="zh-CN"/>
        </w:rPr>
        <w:t>201</w:t>
      </w:r>
      <w:r>
        <w:rPr>
          <w:rFonts w:hint="eastAsia" w:ascii="黑体" w:hAnsi="黑体" w:eastAsia="黑体" w:cs="黑体"/>
          <w:color w:val="auto"/>
          <w:sz w:val="32"/>
          <w:szCs w:val="32"/>
          <w:highlight w:val="none"/>
          <w:lang w:val="en-US" w:eastAsia="zh-CN"/>
        </w:rPr>
        <w:t>8</w:t>
      </w:r>
      <w:r>
        <w:rPr>
          <w:rFonts w:hint="eastAsia" w:ascii="黑体" w:hAnsi="黑体" w:eastAsia="黑体" w:cs="黑体"/>
          <w:color w:val="auto"/>
          <w:sz w:val="32"/>
          <w:szCs w:val="32"/>
          <w:highlight w:val="none"/>
          <w:lang w:eastAsia="zh-CN"/>
        </w:rPr>
        <w:t>年度</w:t>
      </w:r>
      <w:r>
        <w:rPr>
          <w:rFonts w:hint="eastAsia" w:ascii="黑体" w:hAnsi="黑体" w:eastAsia="黑体" w:cs="黑体"/>
          <w:color w:val="auto"/>
          <w:sz w:val="32"/>
          <w:szCs w:val="32"/>
          <w:highlight w:val="none"/>
        </w:rPr>
        <w:t>部门决算表</w:t>
      </w:r>
    </w:p>
    <w:p>
      <w:pPr>
        <w:ind w:firstLine="640" w:firstLineChars="200"/>
        <w:jc w:val="left"/>
        <w:rPr>
          <w:rFonts w:ascii="宋体" w:hAnsi="宋体" w:eastAsia="宋体" w:cs="宋体"/>
          <w:color w:val="auto"/>
          <w:sz w:val="32"/>
          <w:szCs w:val="32"/>
          <w:highlight w:val="none"/>
        </w:rPr>
      </w:pPr>
      <w:r>
        <w:rPr>
          <w:rFonts w:hint="eastAsia" w:ascii="宋体" w:hAnsi="宋体" w:eastAsia="宋体" w:cs="宋体"/>
          <w:color w:val="auto"/>
          <w:sz w:val="32"/>
          <w:szCs w:val="32"/>
          <w:highlight w:val="none"/>
        </w:rPr>
        <w:t>一、收入支出决算总表</w:t>
      </w:r>
    </w:p>
    <w:p>
      <w:pPr>
        <w:ind w:firstLine="640" w:firstLineChars="200"/>
        <w:jc w:val="left"/>
        <w:rPr>
          <w:rFonts w:ascii="宋体" w:hAnsi="宋体" w:eastAsia="宋体" w:cs="宋体"/>
          <w:color w:val="auto"/>
          <w:sz w:val="32"/>
          <w:szCs w:val="32"/>
          <w:highlight w:val="none"/>
        </w:rPr>
      </w:pPr>
      <w:r>
        <w:rPr>
          <w:rFonts w:hint="eastAsia" w:ascii="宋体" w:hAnsi="宋体" w:eastAsia="宋体" w:cs="宋体"/>
          <w:color w:val="auto"/>
          <w:sz w:val="32"/>
          <w:szCs w:val="32"/>
          <w:highlight w:val="none"/>
        </w:rPr>
        <w:t>二、收入决算表</w:t>
      </w:r>
    </w:p>
    <w:p>
      <w:pPr>
        <w:ind w:firstLine="640" w:firstLineChars="200"/>
        <w:jc w:val="left"/>
        <w:rPr>
          <w:rFonts w:ascii="宋体" w:hAnsi="宋体" w:eastAsia="宋体" w:cs="宋体"/>
          <w:color w:val="auto"/>
          <w:sz w:val="32"/>
          <w:szCs w:val="32"/>
          <w:highlight w:val="none"/>
        </w:rPr>
      </w:pPr>
      <w:r>
        <w:rPr>
          <w:rFonts w:hint="eastAsia" w:ascii="宋体" w:hAnsi="宋体" w:eastAsia="宋体" w:cs="宋体"/>
          <w:color w:val="auto"/>
          <w:sz w:val="32"/>
          <w:szCs w:val="32"/>
          <w:highlight w:val="none"/>
        </w:rPr>
        <w:t>三、支出决算表</w:t>
      </w:r>
    </w:p>
    <w:p>
      <w:pPr>
        <w:ind w:firstLine="640" w:firstLineChars="200"/>
        <w:jc w:val="left"/>
        <w:rPr>
          <w:rFonts w:ascii="宋体" w:hAnsi="宋体" w:eastAsia="宋体" w:cs="宋体"/>
          <w:color w:val="auto"/>
          <w:sz w:val="32"/>
          <w:szCs w:val="32"/>
          <w:highlight w:val="none"/>
        </w:rPr>
      </w:pPr>
      <w:r>
        <w:rPr>
          <w:rFonts w:hint="eastAsia" w:ascii="宋体" w:hAnsi="宋体" w:eastAsia="宋体" w:cs="宋体"/>
          <w:color w:val="auto"/>
          <w:sz w:val="32"/>
          <w:szCs w:val="32"/>
          <w:highlight w:val="none"/>
        </w:rPr>
        <w:t>四、财政拨款收入支出决算总表</w:t>
      </w:r>
    </w:p>
    <w:p>
      <w:pPr>
        <w:ind w:firstLine="640" w:firstLineChars="200"/>
        <w:jc w:val="left"/>
        <w:rPr>
          <w:rFonts w:ascii="宋体" w:hAnsi="宋体" w:eastAsia="宋体" w:cs="宋体"/>
          <w:color w:val="auto"/>
          <w:sz w:val="32"/>
          <w:szCs w:val="32"/>
          <w:highlight w:val="none"/>
        </w:rPr>
      </w:pPr>
      <w:r>
        <w:rPr>
          <w:rFonts w:hint="eastAsia" w:ascii="宋体" w:hAnsi="宋体" w:eastAsia="宋体" w:cs="宋体"/>
          <w:color w:val="auto"/>
          <w:sz w:val="32"/>
          <w:szCs w:val="32"/>
          <w:highlight w:val="none"/>
        </w:rPr>
        <w:t>五、一般公共预算财政拨款支出决算表</w:t>
      </w:r>
    </w:p>
    <w:p>
      <w:pPr>
        <w:ind w:firstLine="640" w:firstLineChars="200"/>
        <w:jc w:val="left"/>
        <w:rPr>
          <w:rFonts w:ascii="宋体" w:hAnsi="宋体" w:eastAsia="宋体" w:cs="宋体"/>
          <w:color w:val="auto"/>
          <w:sz w:val="32"/>
          <w:szCs w:val="32"/>
          <w:highlight w:val="none"/>
        </w:rPr>
      </w:pPr>
      <w:r>
        <w:rPr>
          <w:rFonts w:hint="eastAsia" w:ascii="宋体" w:hAnsi="宋体" w:eastAsia="宋体" w:cs="宋体"/>
          <w:color w:val="auto"/>
          <w:sz w:val="32"/>
          <w:szCs w:val="32"/>
          <w:highlight w:val="none"/>
        </w:rPr>
        <w:t>六、一般公共预算财政拨款基本支出决算表</w:t>
      </w:r>
    </w:p>
    <w:p>
      <w:pPr>
        <w:ind w:firstLine="640" w:firstLineChars="200"/>
        <w:jc w:val="left"/>
        <w:rPr>
          <w:rFonts w:ascii="宋体" w:hAnsi="宋体" w:eastAsia="宋体" w:cs="宋体"/>
          <w:color w:val="auto"/>
          <w:sz w:val="32"/>
          <w:szCs w:val="32"/>
          <w:highlight w:val="none"/>
        </w:rPr>
      </w:pPr>
      <w:r>
        <w:rPr>
          <w:rFonts w:hint="eastAsia" w:ascii="宋体" w:hAnsi="宋体" w:eastAsia="宋体" w:cs="宋体"/>
          <w:color w:val="auto"/>
          <w:sz w:val="32"/>
          <w:szCs w:val="32"/>
          <w:highlight w:val="none"/>
        </w:rPr>
        <w:t>七、一般公共预算财政拨款“三公”经费支出决算表</w:t>
      </w:r>
    </w:p>
    <w:p>
      <w:pPr>
        <w:ind w:firstLine="640" w:firstLineChars="200"/>
        <w:jc w:val="left"/>
        <w:rPr>
          <w:rFonts w:ascii="宋体" w:hAnsi="宋体" w:eastAsia="宋体" w:cs="宋体"/>
          <w:color w:val="auto"/>
          <w:sz w:val="32"/>
          <w:szCs w:val="32"/>
          <w:highlight w:val="none"/>
        </w:rPr>
      </w:pPr>
      <w:r>
        <w:rPr>
          <w:rFonts w:hint="eastAsia" w:ascii="宋体" w:hAnsi="宋体" w:eastAsia="宋体" w:cs="宋体"/>
          <w:color w:val="auto"/>
          <w:sz w:val="32"/>
          <w:szCs w:val="32"/>
          <w:highlight w:val="none"/>
        </w:rPr>
        <w:t>八、政府性基金预算财政拨款收入支出决算表</w:t>
      </w:r>
    </w:p>
    <w:p>
      <w:pPr>
        <w:jc w:val="left"/>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第三部分　　</w:t>
      </w:r>
      <w:r>
        <w:rPr>
          <w:rFonts w:hint="eastAsia" w:ascii="黑体" w:hAnsi="黑体" w:eastAsia="黑体" w:cs="黑体"/>
          <w:color w:val="auto"/>
          <w:sz w:val="32"/>
          <w:szCs w:val="32"/>
          <w:highlight w:val="none"/>
          <w:lang w:eastAsia="zh-CN"/>
        </w:rPr>
        <w:t>201</w:t>
      </w:r>
      <w:r>
        <w:rPr>
          <w:rFonts w:hint="eastAsia" w:ascii="黑体" w:hAnsi="黑体" w:eastAsia="黑体" w:cs="黑体"/>
          <w:color w:val="auto"/>
          <w:sz w:val="32"/>
          <w:szCs w:val="32"/>
          <w:highlight w:val="none"/>
          <w:lang w:val="en-US" w:eastAsia="zh-CN"/>
        </w:rPr>
        <w:t>8</w:t>
      </w:r>
      <w:r>
        <w:rPr>
          <w:rFonts w:hint="eastAsia" w:ascii="黑体" w:hAnsi="黑体" w:eastAsia="黑体" w:cs="黑体"/>
          <w:color w:val="auto"/>
          <w:sz w:val="32"/>
          <w:szCs w:val="32"/>
          <w:highlight w:val="none"/>
          <w:lang w:eastAsia="zh-CN"/>
        </w:rPr>
        <w:t>年度</w:t>
      </w:r>
      <w:r>
        <w:rPr>
          <w:rFonts w:hint="eastAsia" w:ascii="黑体" w:hAnsi="黑体" w:eastAsia="黑体" w:cs="黑体"/>
          <w:color w:val="auto"/>
          <w:sz w:val="32"/>
          <w:szCs w:val="32"/>
          <w:highlight w:val="none"/>
        </w:rPr>
        <w:t>部门决算情况说明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一、收入支出决算总体情况说明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二、关于收入决算情况说明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三、支出决算情况说明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四、财政拨款收入支出决算总体情况说明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五、一般公共预算财政拨款支出决算情况说明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六、一般公共预算财政拨款基本支出决算情况说明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七、一般公共预算财政拨款“三公”经费支出决算情况说明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八、预算绩效情况说明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九、政府性基金预算财政拨款支出决算情况说明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十、机关运行经费支出情况</w:t>
      </w:r>
      <w:r>
        <w:rPr>
          <w:rFonts w:hint="eastAsia" w:ascii="宋体" w:hAnsi="宋体" w:eastAsia="宋体" w:cs="宋体"/>
          <w:color w:val="auto"/>
          <w:sz w:val="32"/>
          <w:szCs w:val="32"/>
          <w:highlight w:val="none"/>
          <w:lang w:eastAsia="zh-CN"/>
        </w:rPr>
        <w:t>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lang w:eastAsia="zh-CN"/>
        </w:rPr>
        <w:t>十一、</w:t>
      </w:r>
      <w:r>
        <w:rPr>
          <w:rFonts w:hint="eastAsia" w:ascii="宋体" w:hAnsi="宋体" w:eastAsia="宋体" w:cs="宋体"/>
          <w:color w:val="auto"/>
          <w:sz w:val="32"/>
          <w:szCs w:val="32"/>
          <w:highlight w:val="none"/>
        </w:rPr>
        <w:t>政府采购支出情况</w:t>
      </w:r>
      <w:r>
        <w:rPr>
          <w:rFonts w:hint="eastAsia" w:ascii="宋体" w:hAnsi="宋体" w:eastAsia="宋体" w:cs="宋体"/>
          <w:color w:val="auto"/>
          <w:sz w:val="32"/>
          <w:szCs w:val="32"/>
          <w:highlight w:val="none"/>
          <w:lang w:eastAsia="zh-CN"/>
        </w:rPr>
        <w:t>说明</w:t>
      </w:r>
    </w:p>
    <w:p>
      <w:pPr>
        <w:ind w:firstLine="640" w:firstLineChars="200"/>
        <w:jc w:val="left"/>
        <w:rPr>
          <w:rFonts w:hint="eastAsia" w:ascii="宋体" w:hAnsi="宋体" w:eastAsia="宋体" w:cs="宋体"/>
          <w:color w:val="auto"/>
          <w:sz w:val="32"/>
          <w:szCs w:val="32"/>
          <w:highlight w:val="none"/>
          <w:lang w:eastAsia="zh-CN"/>
        </w:rPr>
      </w:pPr>
      <w:r>
        <w:rPr>
          <w:rFonts w:hint="eastAsia" w:ascii="宋体" w:hAnsi="宋体" w:eastAsia="宋体" w:cs="宋体"/>
          <w:color w:val="auto"/>
          <w:sz w:val="32"/>
          <w:szCs w:val="32"/>
          <w:highlight w:val="none"/>
          <w:lang w:eastAsia="zh-CN"/>
        </w:rPr>
        <w:t>十二、国有资产占用情况说明</w:t>
      </w:r>
    </w:p>
    <w:p>
      <w:pPr>
        <w:jc w:val="left"/>
        <w:rPr>
          <w:rFonts w:ascii="黑体" w:hAnsi="黑体" w:eastAsia="黑体" w:cs="黑体"/>
          <w:color w:val="auto"/>
          <w:sz w:val="32"/>
          <w:szCs w:val="32"/>
          <w:highlight w:val="none"/>
        </w:rPr>
        <w:sectPr>
          <w:footerReference r:id="rId3" w:type="default"/>
          <w:pgSz w:w="11906" w:h="16838"/>
          <w:pgMar w:top="1440" w:right="1531" w:bottom="1440" w:left="1587" w:header="850" w:footer="992" w:gutter="0"/>
          <w:pgNumType w:fmt="numberInDash"/>
          <w:cols w:space="720" w:num="1"/>
          <w:rtlGutter w:val="0"/>
          <w:docGrid w:type="lines" w:linePitch="317" w:charSpace="0"/>
        </w:sectPr>
      </w:pPr>
      <w:r>
        <w:rPr>
          <w:rFonts w:hint="eastAsia" w:ascii="黑体" w:hAnsi="黑体" w:eastAsia="黑体" w:cs="黑体"/>
          <w:color w:val="auto"/>
          <w:sz w:val="32"/>
          <w:szCs w:val="32"/>
          <w:highlight w:val="none"/>
        </w:rPr>
        <w:t>第四部分　　名词解释</w:t>
      </w: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numPr>
          <w:ilvl w:val="0"/>
          <w:numId w:val="2"/>
        </w:numPr>
        <w:jc w:val="center"/>
        <w:rPr>
          <w:rFonts w:hint="eastAsia" w:ascii="黑体" w:hAnsi="黑体" w:eastAsia="黑体" w:cs="黑体"/>
          <w:color w:val="auto"/>
          <w:sz w:val="52"/>
          <w:szCs w:val="52"/>
          <w:highlight w:val="none"/>
          <w:lang w:eastAsia="zh-CN"/>
        </w:rPr>
      </w:pPr>
      <w:r>
        <w:rPr>
          <w:rFonts w:hint="eastAsia" w:ascii="黑体" w:hAnsi="黑体" w:eastAsia="黑体" w:cs="黑体"/>
          <w:color w:val="auto"/>
          <w:sz w:val="48"/>
          <w:szCs w:val="48"/>
          <w:highlight w:val="none"/>
        </w:rPr>
        <w:t>　</w:t>
      </w:r>
      <w:r>
        <w:rPr>
          <w:rFonts w:hint="eastAsia" w:ascii="黑体" w:hAnsi="黑体" w:eastAsia="黑体" w:cs="黑体"/>
          <w:color w:val="auto"/>
          <w:sz w:val="52"/>
          <w:szCs w:val="52"/>
          <w:highlight w:val="none"/>
          <w:lang w:eastAsia="zh-CN"/>
        </w:rPr>
        <w:t>三门峡市医药总公司</w:t>
      </w:r>
    </w:p>
    <w:p>
      <w:pPr>
        <w:widowControl/>
        <w:numPr>
          <w:ilvl w:val="0"/>
          <w:numId w:val="0"/>
        </w:numPr>
        <w:ind w:firstLine="5280" w:firstLineChars="1100"/>
        <w:jc w:val="both"/>
        <w:rPr>
          <w:rFonts w:hint="eastAsia" w:ascii="黑体" w:hAnsi="宋体" w:eastAsia="黑体" w:cs="宋体"/>
          <w:color w:val="auto"/>
          <w:kern w:val="0"/>
          <w:sz w:val="28"/>
          <w:szCs w:val="28"/>
          <w:highlight w:val="none"/>
          <w:lang w:val="en-US" w:eastAsia="zh-CN"/>
        </w:rPr>
      </w:pPr>
      <w:r>
        <w:rPr>
          <w:rFonts w:hint="eastAsia" w:ascii="黑体" w:hAnsi="黑体" w:eastAsia="黑体" w:cs="黑体"/>
          <w:color w:val="auto"/>
          <w:sz w:val="48"/>
          <w:szCs w:val="48"/>
          <w:highlight w:val="none"/>
        </w:rPr>
        <w:t>概况</w:t>
      </w: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sectPr>
          <w:pgSz w:w="11906" w:h="16838"/>
          <w:pgMar w:top="1440" w:right="1800" w:bottom="1440" w:left="1800" w:header="720" w:footer="720" w:gutter="0"/>
          <w:pgNumType w:fmt="numberInDash"/>
          <w:cols w:space="720" w:num="1"/>
          <w:docGrid w:type="lines" w:linePitch="312" w:charSpace="0"/>
        </w:sectPr>
      </w:pPr>
    </w:p>
    <w:p>
      <w:pPr>
        <w:widowControl/>
        <w:ind w:firstLine="640" w:firstLineChars="200"/>
        <w:jc w:val="left"/>
        <w:rPr>
          <w:rFonts w:hint="eastAsia" w:ascii="黑体" w:hAnsi="黑体" w:eastAsia="黑体" w:cs="黑体"/>
          <w:color w:val="auto"/>
          <w:kern w:val="0"/>
          <w:sz w:val="32"/>
          <w:szCs w:val="32"/>
          <w:highlight w:val="none"/>
          <w:lang w:val="en-US" w:eastAsia="zh-CN"/>
        </w:rPr>
      </w:pPr>
      <w:r>
        <w:rPr>
          <w:rFonts w:hint="eastAsia" w:ascii="黑体" w:hAnsi="黑体" w:eastAsia="黑体" w:cs="黑体"/>
          <w:color w:val="auto"/>
          <w:kern w:val="0"/>
          <w:sz w:val="32"/>
          <w:szCs w:val="32"/>
          <w:highlight w:val="none"/>
          <w:lang w:val="en-US" w:eastAsia="zh-CN"/>
        </w:rPr>
        <w:t>一、部门职责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560"/>
        <w:jc w:val="left"/>
        <w:rPr>
          <w:b w:val="0"/>
          <w:bCs/>
          <w:sz w:val="32"/>
          <w:szCs w:val="32"/>
        </w:rPr>
      </w:pPr>
      <w:r>
        <w:rPr>
          <w:rFonts w:hint="eastAsia" w:ascii="仿宋" w:hAnsi="仿宋" w:eastAsia="仿宋" w:cs="仿宋"/>
          <w:b w:val="0"/>
          <w:bCs/>
          <w:i w:val="0"/>
          <w:caps w:val="0"/>
          <w:color w:val="000000"/>
          <w:spacing w:val="0"/>
          <w:kern w:val="0"/>
          <w:sz w:val="32"/>
          <w:szCs w:val="32"/>
          <w:shd w:val="clear" w:color="auto" w:fill="FFFFFF"/>
          <w:lang w:val="en-US" w:eastAsia="zh-CN" w:bidi="ar"/>
        </w:rPr>
        <w:t>三门峡市医药总公司依据三文【2009】132号，设立更名于2009年，为市政府工作部门，规格相当于正处级。编制21名，内设4个科室，主要职责是：</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560"/>
        <w:jc w:val="left"/>
        <w:rPr>
          <w:rFonts w:hint="eastAsia" w:ascii="仿宋" w:hAnsi="仿宋" w:eastAsia="仿宋" w:cs="仿宋"/>
          <w:b w:val="0"/>
          <w:bCs/>
          <w:i w:val="0"/>
          <w:caps w:val="0"/>
          <w:color w:val="000000"/>
          <w:spacing w:val="0"/>
          <w:kern w:val="0"/>
          <w:sz w:val="32"/>
          <w:szCs w:val="32"/>
          <w:shd w:val="clear" w:color="auto" w:fill="FFFFFF"/>
          <w:lang w:val="en-US" w:eastAsia="zh-CN" w:bidi="ar"/>
        </w:rPr>
      </w:pPr>
      <w:r>
        <w:rPr>
          <w:rFonts w:hint="eastAsia" w:ascii="仿宋" w:hAnsi="仿宋" w:eastAsia="仿宋" w:cs="仿宋"/>
          <w:b w:val="0"/>
          <w:bCs/>
          <w:i w:val="0"/>
          <w:caps w:val="0"/>
          <w:color w:val="000000"/>
          <w:spacing w:val="0"/>
          <w:kern w:val="0"/>
          <w:sz w:val="32"/>
          <w:szCs w:val="32"/>
          <w:shd w:val="clear" w:color="auto" w:fill="FFFFFF"/>
          <w:lang w:val="en-US" w:eastAsia="zh-CN" w:bidi="ar"/>
        </w:rPr>
        <w:t>贯彻执行国家关于医药流通行业的方针、政策、法规，促进全市医药商业的发展；</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560"/>
        <w:jc w:val="left"/>
        <w:rPr>
          <w:b w:val="0"/>
          <w:bCs/>
          <w:sz w:val="32"/>
          <w:szCs w:val="32"/>
        </w:rPr>
      </w:pPr>
      <w:r>
        <w:rPr>
          <w:rFonts w:hint="eastAsia" w:ascii="仿宋" w:hAnsi="仿宋" w:eastAsia="仿宋" w:cs="仿宋"/>
          <w:b w:val="0"/>
          <w:bCs/>
          <w:i w:val="0"/>
          <w:caps w:val="0"/>
          <w:color w:val="000000"/>
          <w:spacing w:val="0"/>
          <w:kern w:val="0"/>
          <w:sz w:val="32"/>
          <w:szCs w:val="32"/>
          <w:shd w:val="clear" w:color="auto" w:fill="FFFFFF"/>
          <w:lang w:val="en-US" w:eastAsia="zh-CN" w:bidi="ar"/>
        </w:rPr>
        <w:t>指导协调所属企业生产经营；</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560"/>
        <w:jc w:val="left"/>
        <w:rPr>
          <w:b w:val="0"/>
          <w:bCs/>
          <w:sz w:val="32"/>
          <w:szCs w:val="32"/>
        </w:rPr>
      </w:pPr>
      <w:r>
        <w:rPr>
          <w:rFonts w:hint="eastAsia" w:ascii="仿宋" w:hAnsi="仿宋" w:eastAsia="仿宋" w:cs="仿宋"/>
          <w:b w:val="0"/>
          <w:bCs/>
          <w:i w:val="0"/>
          <w:caps w:val="0"/>
          <w:color w:val="000000"/>
          <w:spacing w:val="0"/>
          <w:kern w:val="0"/>
          <w:sz w:val="32"/>
          <w:szCs w:val="32"/>
          <w:shd w:val="clear" w:color="auto" w:fill="FFFFFF"/>
          <w:lang w:val="en-US" w:eastAsia="zh-CN" w:bidi="ar"/>
        </w:rPr>
        <w:t>负责所属企业领导班子建设、安全生产、信访稳定、专业岗位培训等工作；</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560"/>
        <w:jc w:val="left"/>
        <w:rPr>
          <w:b w:val="0"/>
          <w:bCs/>
          <w:sz w:val="32"/>
          <w:szCs w:val="32"/>
        </w:rPr>
      </w:pPr>
      <w:r>
        <w:rPr>
          <w:rFonts w:hint="eastAsia" w:ascii="仿宋" w:hAnsi="仿宋" w:eastAsia="仿宋" w:cs="仿宋"/>
          <w:b w:val="0"/>
          <w:bCs/>
          <w:i w:val="0"/>
          <w:caps w:val="0"/>
          <w:color w:val="000000"/>
          <w:spacing w:val="0"/>
          <w:kern w:val="0"/>
          <w:sz w:val="32"/>
          <w:szCs w:val="32"/>
          <w:shd w:val="clear" w:color="auto" w:fill="FFFFFF"/>
          <w:lang w:val="en-US" w:eastAsia="zh-CN" w:bidi="ar"/>
        </w:rPr>
        <w:t>负责特殊药品（精、麻、毒、放）专供管理工作；</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560"/>
        <w:jc w:val="left"/>
        <w:rPr>
          <w:b w:val="0"/>
          <w:bCs/>
          <w:sz w:val="32"/>
          <w:szCs w:val="32"/>
        </w:rPr>
      </w:pPr>
      <w:r>
        <w:rPr>
          <w:rFonts w:hint="eastAsia" w:ascii="仿宋" w:hAnsi="仿宋" w:eastAsia="仿宋" w:cs="仿宋"/>
          <w:b w:val="0"/>
          <w:bCs/>
          <w:i w:val="0"/>
          <w:caps w:val="0"/>
          <w:color w:val="000000"/>
          <w:spacing w:val="0"/>
          <w:kern w:val="0"/>
          <w:sz w:val="32"/>
          <w:szCs w:val="32"/>
          <w:shd w:val="clear" w:color="auto" w:fill="FFFFFF"/>
          <w:lang w:val="en-US" w:eastAsia="zh-CN" w:bidi="ar"/>
        </w:rPr>
        <w:t>负责全市药品储备工作，提出全市药品储备品种、数量及轮换意见，对承储企业进行监督、检查，负责灾情、疫情、突发事件的药械紧急调度；</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560"/>
        <w:jc w:val="left"/>
        <w:rPr>
          <w:b w:val="0"/>
          <w:bCs/>
          <w:sz w:val="32"/>
          <w:szCs w:val="32"/>
        </w:rPr>
      </w:pPr>
      <w:r>
        <w:rPr>
          <w:rFonts w:hint="eastAsia" w:ascii="仿宋" w:hAnsi="仿宋" w:eastAsia="仿宋" w:cs="仿宋"/>
          <w:b w:val="0"/>
          <w:bCs/>
          <w:i w:val="0"/>
          <w:caps w:val="0"/>
          <w:color w:val="000000"/>
          <w:spacing w:val="0"/>
          <w:kern w:val="0"/>
          <w:sz w:val="32"/>
          <w:szCs w:val="32"/>
          <w:shd w:val="clear" w:color="auto" w:fill="FFFFFF"/>
          <w:lang w:val="en-US" w:eastAsia="zh-CN" w:bidi="ar"/>
        </w:rPr>
        <w:t>承办市政府交办的其他事项。</w:t>
      </w:r>
    </w:p>
    <w:p>
      <w:pPr>
        <w:widowControl/>
        <w:ind w:firstLine="640" w:firstLineChars="200"/>
        <w:jc w:val="left"/>
        <w:rPr>
          <w:rFonts w:hint="eastAsia" w:ascii="黑体" w:hAnsi="黑体" w:eastAsia="黑体" w:cs="黑体"/>
          <w:color w:val="auto"/>
          <w:kern w:val="0"/>
          <w:sz w:val="32"/>
          <w:szCs w:val="32"/>
          <w:highlight w:val="none"/>
          <w:lang w:val="en-US" w:eastAsia="zh-CN"/>
        </w:rPr>
      </w:pPr>
      <w:r>
        <w:rPr>
          <w:rFonts w:hint="eastAsia" w:ascii="黑体" w:hAnsi="黑体" w:eastAsia="黑体" w:cs="黑体"/>
          <w:color w:val="auto"/>
          <w:kern w:val="0"/>
          <w:sz w:val="32"/>
          <w:szCs w:val="32"/>
          <w:highlight w:val="none"/>
          <w:lang w:val="en-US" w:eastAsia="zh-CN"/>
        </w:rPr>
        <w:t>二、机构设置</w:t>
      </w:r>
    </w:p>
    <w:p>
      <w:pPr>
        <w:widowControl/>
        <w:ind w:firstLine="640" w:firstLineChars="200"/>
        <w:jc w:val="left"/>
        <w:rPr>
          <w:rFonts w:hint="eastAsia" w:ascii="黑体" w:hAnsi="宋体" w:eastAsia="黑体" w:cs="宋体"/>
          <w:color w:val="auto"/>
          <w:kern w:val="0"/>
          <w:sz w:val="32"/>
          <w:szCs w:val="32"/>
          <w:highlight w:val="none"/>
          <w:lang w:val="en-US" w:eastAsia="zh-CN"/>
        </w:rPr>
      </w:pPr>
      <w:r>
        <w:rPr>
          <w:rFonts w:hint="default" w:ascii="仿宋_GB2312" w:hAnsi="寰蒋闆呴粦" w:eastAsia="仿宋_GB2312" w:cs="仿宋_GB2312"/>
          <w:b w:val="0"/>
          <w:i w:val="0"/>
          <w:caps w:val="0"/>
          <w:color w:val="000000"/>
          <w:spacing w:val="0"/>
          <w:sz w:val="32"/>
          <w:szCs w:val="32"/>
          <w:shd w:val="clear" w:color="auto" w:fill="FFFFFF"/>
        </w:rPr>
        <w:t>三门峡市</w:t>
      </w:r>
      <w:r>
        <w:rPr>
          <w:rFonts w:hint="eastAsia" w:ascii="仿宋_GB2312" w:hAnsi="寰蒋闆呴粦" w:eastAsia="仿宋_GB2312" w:cs="仿宋_GB2312"/>
          <w:b w:val="0"/>
          <w:i w:val="0"/>
          <w:caps w:val="0"/>
          <w:color w:val="000000"/>
          <w:spacing w:val="0"/>
          <w:sz w:val="32"/>
          <w:szCs w:val="32"/>
          <w:shd w:val="clear" w:color="auto" w:fill="FFFFFF"/>
          <w:lang w:val="en-US" w:eastAsia="zh-CN"/>
        </w:rPr>
        <w:t>医药总公司</w:t>
      </w:r>
      <w:r>
        <w:rPr>
          <w:rFonts w:hint="default" w:ascii="仿宋_GB2312" w:hAnsi="寰蒋闆呴粦" w:eastAsia="仿宋_GB2312" w:cs="仿宋_GB2312"/>
          <w:b w:val="0"/>
          <w:i w:val="0"/>
          <w:caps w:val="0"/>
          <w:color w:val="000000"/>
          <w:spacing w:val="0"/>
          <w:sz w:val="32"/>
          <w:szCs w:val="32"/>
          <w:shd w:val="clear" w:color="auto" w:fill="FFFFFF"/>
        </w:rPr>
        <w:t>部门</w:t>
      </w:r>
      <w:r>
        <w:rPr>
          <w:rFonts w:hint="eastAsia" w:ascii="仿宋_GB2312" w:hAnsi="仿宋_GB2312" w:eastAsia="仿宋_GB2312" w:cs="仿宋_GB2312"/>
          <w:color w:val="auto"/>
          <w:kern w:val="0"/>
          <w:sz w:val="32"/>
          <w:szCs w:val="32"/>
          <w:highlight w:val="none"/>
          <w:lang w:val="en-US" w:eastAsia="zh-CN"/>
        </w:rPr>
        <w:t>决算</w:t>
      </w:r>
      <w:r>
        <w:rPr>
          <w:rFonts w:hint="default" w:ascii="仿宋_GB2312" w:hAnsi="寰蒋闆呴粦" w:eastAsia="仿宋_GB2312" w:cs="仿宋_GB2312"/>
          <w:b w:val="0"/>
          <w:i w:val="0"/>
          <w:caps w:val="0"/>
          <w:color w:val="000000"/>
          <w:spacing w:val="0"/>
          <w:sz w:val="32"/>
          <w:szCs w:val="32"/>
          <w:shd w:val="clear" w:color="auto" w:fill="FFFFFF"/>
        </w:rPr>
        <w:t>包括</w:t>
      </w:r>
      <w:r>
        <w:rPr>
          <w:rFonts w:hint="eastAsia" w:ascii="仿宋_GB2312" w:hAnsi="寰蒋闆呴粦" w:eastAsia="仿宋_GB2312" w:cs="仿宋_GB2312"/>
          <w:b w:val="0"/>
          <w:i w:val="0"/>
          <w:caps w:val="0"/>
          <w:color w:val="000000"/>
          <w:spacing w:val="0"/>
          <w:sz w:val="32"/>
          <w:szCs w:val="32"/>
          <w:shd w:val="clear" w:color="auto" w:fill="FFFFFF"/>
          <w:lang w:val="en-US" w:eastAsia="zh-CN"/>
        </w:rPr>
        <w:t>总公司</w:t>
      </w:r>
      <w:r>
        <w:rPr>
          <w:rFonts w:hint="default" w:ascii="仿宋_GB2312" w:hAnsi="寰蒋闆呴粦" w:eastAsia="仿宋_GB2312" w:cs="仿宋_GB2312"/>
          <w:b w:val="0"/>
          <w:i w:val="0"/>
          <w:caps w:val="0"/>
          <w:color w:val="000000"/>
          <w:spacing w:val="0"/>
          <w:sz w:val="32"/>
          <w:szCs w:val="32"/>
          <w:shd w:val="clear" w:color="auto" w:fill="FFFFFF"/>
        </w:rPr>
        <w:t>机关本级</w:t>
      </w:r>
      <w:r>
        <w:rPr>
          <w:rFonts w:hint="eastAsia" w:ascii="仿宋_GB2312" w:hAnsi="仿宋_GB2312" w:eastAsia="仿宋_GB2312" w:cs="仿宋_GB2312"/>
          <w:color w:val="auto"/>
          <w:kern w:val="0"/>
          <w:sz w:val="32"/>
          <w:szCs w:val="32"/>
          <w:highlight w:val="none"/>
          <w:lang w:val="en-US" w:eastAsia="zh-CN"/>
        </w:rPr>
        <w:t>决算。</w:t>
      </w:r>
    </w:p>
    <w:p>
      <w:pPr>
        <w:widowControl/>
        <w:jc w:val="left"/>
        <w:rPr>
          <w:rFonts w:hint="eastAsia" w:ascii="黑体" w:hAnsi="宋体" w:eastAsia="黑体" w:cs="宋体"/>
          <w:color w:val="auto"/>
          <w:kern w:val="0"/>
          <w:sz w:val="32"/>
          <w:szCs w:val="32"/>
          <w:highlight w:val="none"/>
          <w:lang w:val="en-US" w:eastAsia="zh-CN"/>
        </w:rPr>
        <w:sectPr>
          <w:pgSz w:w="11906" w:h="16838"/>
          <w:pgMar w:top="1440" w:right="1800" w:bottom="1440" w:left="1800" w:header="720" w:footer="720" w:gutter="0"/>
          <w:pgNumType w:fmt="numberInDash"/>
          <w:cols w:space="720" w:num="1"/>
          <w:docGrid w:type="lines" w:linePitch="312" w:charSpace="0"/>
        </w:sectPr>
      </w:pPr>
    </w:p>
    <w:p>
      <w:pPr>
        <w:jc w:val="left"/>
        <w:rPr>
          <w:rFonts w:ascii="黑体" w:hAnsi="黑体" w:eastAsia="黑体" w:cs="黑体"/>
          <w:color w:val="auto"/>
          <w:sz w:val="32"/>
          <w:szCs w:val="32"/>
          <w:highlight w:val="none"/>
        </w:rPr>
      </w:pPr>
    </w:p>
    <w:p>
      <w:pPr>
        <w:jc w:val="left"/>
        <w:rPr>
          <w:rFonts w:ascii="黑体" w:hAnsi="黑体" w:eastAsia="黑体" w:cs="黑体"/>
          <w:color w:val="auto"/>
          <w:sz w:val="32"/>
          <w:szCs w:val="32"/>
          <w:highlight w:val="none"/>
        </w:rPr>
      </w:pPr>
    </w:p>
    <w:p>
      <w:pPr>
        <w:jc w:val="left"/>
        <w:rPr>
          <w:rFonts w:ascii="黑体" w:hAnsi="黑体" w:eastAsia="黑体" w:cs="黑体"/>
          <w:color w:val="auto"/>
          <w:sz w:val="32"/>
          <w:szCs w:val="32"/>
          <w:highlight w:val="none"/>
        </w:rPr>
      </w:pPr>
    </w:p>
    <w:p>
      <w:pPr>
        <w:jc w:val="left"/>
        <w:rPr>
          <w:rFonts w:ascii="黑体" w:hAnsi="黑体" w:eastAsia="黑体" w:cs="黑体"/>
          <w:color w:val="auto"/>
          <w:sz w:val="32"/>
          <w:szCs w:val="32"/>
          <w:highlight w:val="none"/>
        </w:rPr>
      </w:pPr>
    </w:p>
    <w:p>
      <w:pPr>
        <w:jc w:val="left"/>
        <w:rPr>
          <w:rFonts w:ascii="黑体" w:hAnsi="黑体" w:eastAsia="黑体" w:cs="黑体"/>
          <w:color w:val="auto"/>
          <w:sz w:val="32"/>
          <w:szCs w:val="32"/>
          <w:highlight w:val="none"/>
        </w:rPr>
      </w:pPr>
    </w:p>
    <w:p>
      <w:pPr>
        <w:jc w:val="left"/>
        <w:rPr>
          <w:rFonts w:ascii="黑体" w:hAnsi="黑体" w:eastAsia="黑体" w:cs="黑体"/>
          <w:color w:val="auto"/>
          <w:sz w:val="32"/>
          <w:szCs w:val="32"/>
          <w:highlight w:val="none"/>
        </w:rPr>
      </w:pPr>
    </w:p>
    <w:p>
      <w:pPr>
        <w:jc w:val="left"/>
        <w:rPr>
          <w:rFonts w:hint="eastAsia" w:ascii="黑体" w:hAnsi="黑体" w:eastAsia="黑体" w:cs="黑体"/>
          <w:color w:val="auto"/>
          <w:sz w:val="32"/>
          <w:szCs w:val="32"/>
          <w:highlight w:val="none"/>
        </w:rPr>
      </w:pPr>
    </w:p>
    <w:p>
      <w:pPr>
        <w:jc w:val="center"/>
        <w:outlineLvl w:val="9"/>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第二部分</w:t>
      </w:r>
    </w:p>
    <w:p>
      <w:pPr>
        <w:jc w:val="center"/>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lang w:eastAsia="zh-CN"/>
        </w:rPr>
        <w:t>201</w:t>
      </w:r>
      <w:r>
        <w:rPr>
          <w:rFonts w:hint="eastAsia" w:ascii="黑体" w:hAnsi="黑体" w:eastAsia="黑体" w:cs="黑体"/>
          <w:color w:val="auto"/>
          <w:sz w:val="48"/>
          <w:szCs w:val="48"/>
          <w:highlight w:val="none"/>
          <w:lang w:val="en-US" w:eastAsia="zh-CN"/>
        </w:rPr>
        <w:t>8</w:t>
      </w:r>
      <w:r>
        <w:rPr>
          <w:rFonts w:hint="eastAsia" w:ascii="黑体" w:hAnsi="黑体" w:eastAsia="黑体" w:cs="黑体"/>
          <w:color w:val="auto"/>
          <w:sz w:val="48"/>
          <w:szCs w:val="48"/>
          <w:highlight w:val="none"/>
          <w:lang w:eastAsia="zh-CN"/>
        </w:rPr>
        <w:t>年度</w:t>
      </w:r>
      <w:r>
        <w:rPr>
          <w:rFonts w:hint="eastAsia" w:ascii="黑体" w:hAnsi="黑体" w:eastAsia="黑体" w:cs="黑体"/>
          <w:color w:val="auto"/>
          <w:sz w:val="48"/>
          <w:szCs w:val="48"/>
          <w:highlight w:val="none"/>
        </w:rPr>
        <w:t>部门决算表</w:t>
      </w: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r>
        <w:rPr>
          <w:rFonts w:ascii="仿宋_GB2312" w:hAnsi="宋体" w:eastAsia="仿宋_GB2312" w:cs="仿宋_GB2312"/>
          <w:i w:val="0"/>
          <w:caps w:val="0"/>
          <w:color w:val="555555"/>
          <w:spacing w:val="0"/>
          <w:sz w:val="32"/>
          <w:szCs w:val="32"/>
        </w:rPr>
        <w:t> </w:t>
      </w:r>
      <w:r>
        <w:rPr>
          <w:rFonts w:ascii="仿宋_GB2312" w:hAnsi="宋体" w:eastAsia="仿宋_GB2312" w:cs="仿宋_GB2312"/>
          <w:i w:val="0"/>
          <w:caps w:val="0"/>
          <w:color w:val="555555"/>
          <w:spacing w:val="0"/>
          <w:sz w:val="32"/>
          <w:szCs w:val="32"/>
        </w:rPr>
        <w:fldChar w:fldCharType="begin"/>
      </w:r>
      <w:r>
        <w:rPr>
          <w:rFonts w:ascii="仿宋_GB2312" w:hAnsi="宋体" w:eastAsia="仿宋_GB2312" w:cs="仿宋_GB2312"/>
          <w:i w:val="0"/>
          <w:caps w:val="0"/>
          <w:color w:val="555555"/>
          <w:spacing w:val="0"/>
          <w:sz w:val="32"/>
          <w:szCs w:val="32"/>
        </w:rPr>
        <w:instrText xml:space="preserve"> HYPERLINK "市医药总公司决算公开汇总.xls" </w:instrText>
      </w:r>
      <w:r>
        <w:rPr>
          <w:rFonts w:ascii="仿宋_GB2312" w:hAnsi="宋体" w:eastAsia="仿宋_GB2312" w:cs="仿宋_GB2312"/>
          <w:i w:val="0"/>
          <w:caps w:val="0"/>
          <w:color w:val="555555"/>
          <w:spacing w:val="0"/>
          <w:sz w:val="32"/>
          <w:szCs w:val="32"/>
        </w:rPr>
        <w:fldChar w:fldCharType="separate"/>
      </w:r>
      <w:r>
        <w:rPr>
          <w:rStyle w:val="5"/>
          <w:rFonts w:ascii="仿宋_GB2312" w:hAnsi="宋体" w:eastAsia="仿宋_GB2312" w:cs="仿宋_GB2312"/>
          <w:i w:val="0"/>
          <w:caps w:val="0"/>
          <w:color w:val="555555"/>
          <w:spacing w:val="0"/>
          <w:sz w:val="32"/>
          <w:szCs w:val="32"/>
        </w:rPr>
        <w:t>三门峡市医药总公司2018年度部门决算表</w:t>
      </w:r>
      <w:bookmarkStart w:id="0" w:name="_GoBack"/>
      <w:bookmarkEnd w:id="0"/>
      <w:r>
        <w:rPr>
          <w:rStyle w:val="5"/>
          <w:rFonts w:ascii="仿宋_GB2312" w:hAnsi="宋体" w:eastAsia="仿宋_GB2312" w:cs="仿宋_GB2312"/>
          <w:i w:val="0"/>
          <w:caps w:val="0"/>
          <w:color w:val="555555"/>
          <w:spacing w:val="0"/>
          <w:sz w:val="32"/>
          <w:szCs w:val="32"/>
        </w:rPr>
        <w:t>（点击下载）</w:t>
      </w:r>
      <w:r>
        <w:rPr>
          <w:rFonts w:ascii="仿宋_GB2312" w:hAnsi="宋体" w:eastAsia="仿宋_GB2312" w:cs="仿宋_GB2312"/>
          <w:i w:val="0"/>
          <w:caps w:val="0"/>
          <w:color w:val="555555"/>
          <w:spacing w:val="0"/>
          <w:sz w:val="32"/>
          <w:szCs w:val="32"/>
        </w:rPr>
        <w:fldChar w:fldCharType="end"/>
      </w: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sectPr>
          <w:pgSz w:w="11906" w:h="16838"/>
          <w:pgMar w:top="1440" w:right="1800" w:bottom="1440" w:left="1800" w:header="720" w:footer="720" w:gutter="0"/>
          <w:pgNumType w:fmt="numberInDash"/>
          <w:cols w:space="720" w:num="1"/>
          <w:docGrid w:type="lines" w:linePitch="312" w:charSpace="0"/>
        </w:sectPr>
      </w:pPr>
    </w:p>
    <w:p>
      <w:pPr>
        <w:jc w:val="left"/>
        <w:rPr>
          <w:rFonts w:ascii="黑体" w:hAnsi="黑体" w:eastAsia="黑体" w:cs="黑体"/>
          <w:color w:val="auto"/>
          <w:sz w:val="32"/>
          <w:szCs w:val="32"/>
          <w:highlight w:val="none"/>
        </w:rPr>
      </w:pPr>
    </w:p>
    <w:p>
      <w:pPr>
        <w:jc w:val="left"/>
        <w:rPr>
          <w:rFonts w:ascii="黑体" w:hAnsi="黑体" w:eastAsia="黑体" w:cs="黑体"/>
          <w:color w:val="auto"/>
          <w:sz w:val="32"/>
          <w:szCs w:val="32"/>
          <w:highlight w:val="none"/>
        </w:rPr>
      </w:pPr>
    </w:p>
    <w:p>
      <w:pPr>
        <w:jc w:val="left"/>
        <w:rPr>
          <w:rFonts w:ascii="黑体" w:hAnsi="黑体" w:eastAsia="黑体" w:cs="黑体"/>
          <w:color w:val="auto"/>
          <w:sz w:val="32"/>
          <w:szCs w:val="32"/>
          <w:highlight w:val="none"/>
        </w:rPr>
      </w:pPr>
    </w:p>
    <w:p>
      <w:pPr>
        <w:jc w:val="left"/>
        <w:rPr>
          <w:rFonts w:ascii="黑体" w:hAnsi="黑体" w:eastAsia="黑体" w:cs="黑体"/>
          <w:color w:val="auto"/>
          <w:sz w:val="32"/>
          <w:szCs w:val="32"/>
          <w:highlight w:val="none"/>
        </w:rPr>
      </w:pPr>
    </w:p>
    <w:p>
      <w:pPr>
        <w:jc w:val="left"/>
        <w:rPr>
          <w:rFonts w:ascii="黑体" w:hAnsi="黑体" w:eastAsia="黑体" w:cs="黑体"/>
          <w:color w:val="auto"/>
          <w:sz w:val="32"/>
          <w:szCs w:val="32"/>
          <w:highlight w:val="none"/>
        </w:rPr>
      </w:pPr>
    </w:p>
    <w:p>
      <w:pPr>
        <w:jc w:val="left"/>
        <w:rPr>
          <w:rFonts w:ascii="黑体" w:hAnsi="黑体" w:eastAsia="黑体" w:cs="黑体"/>
          <w:color w:val="auto"/>
          <w:sz w:val="32"/>
          <w:szCs w:val="32"/>
          <w:highlight w:val="none"/>
        </w:rPr>
      </w:pPr>
    </w:p>
    <w:p>
      <w:pPr>
        <w:jc w:val="left"/>
        <w:rPr>
          <w:rFonts w:ascii="黑体" w:hAnsi="黑体" w:eastAsia="黑体" w:cs="黑体"/>
          <w:color w:val="auto"/>
          <w:sz w:val="32"/>
          <w:szCs w:val="32"/>
          <w:highlight w:val="none"/>
        </w:rPr>
      </w:pPr>
    </w:p>
    <w:p>
      <w:pPr>
        <w:jc w:val="center"/>
        <w:outlineLvl w:val="9"/>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第三部分</w:t>
      </w:r>
    </w:p>
    <w:p>
      <w:pPr>
        <w:widowControl/>
        <w:jc w:val="center"/>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lang w:eastAsia="zh-CN"/>
        </w:rPr>
        <w:t>201</w:t>
      </w:r>
      <w:r>
        <w:rPr>
          <w:rFonts w:hint="eastAsia" w:ascii="黑体" w:hAnsi="黑体" w:eastAsia="黑体" w:cs="黑体"/>
          <w:color w:val="auto"/>
          <w:sz w:val="48"/>
          <w:szCs w:val="48"/>
          <w:highlight w:val="none"/>
          <w:lang w:val="en-US" w:eastAsia="zh-CN"/>
        </w:rPr>
        <w:t>8</w:t>
      </w:r>
      <w:r>
        <w:rPr>
          <w:rFonts w:hint="eastAsia" w:ascii="黑体" w:hAnsi="黑体" w:eastAsia="黑体" w:cs="黑体"/>
          <w:color w:val="auto"/>
          <w:sz w:val="48"/>
          <w:szCs w:val="48"/>
          <w:highlight w:val="none"/>
          <w:lang w:eastAsia="zh-CN"/>
        </w:rPr>
        <w:t>年度</w:t>
      </w:r>
      <w:r>
        <w:rPr>
          <w:rFonts w:hint="eastAsia" w:ascii="黑体" w:hAnsi="黑体" w:eastAsia="黑体" w:cs="黑体"/>
          <w:color w:val="auto"/>
          <w:sz w:val="48"/>
          <w:szCs w:val="48"/>
          <w:highlight w:val="none"/>
        </w:rPr>
        <w:t>部门决算情况说明</w:t>
      </w:r>
    </w:p>
    <w:p>
      <w:pPr>
        <w:widowControl/>
        <w:jc w:val="left"/>
        <w:rPr>
          <w:rFonts w:hint="eastAsia" w:ascii="黑体" w:hAnsi="黑体" w:eastAsia="黑体" w:cs="黑体"/>
          <w:color w:val="auto"/>
          <w:sz w:val="48"/>
          <w:szCs w:val="48"/>
          <w:highlight w:val="none"/>
        </w:rPr>
        <w:sectPr>
          <w:pgSz w:w="11906" w:h="16838"/>
          <w:pgMar w:top="1440" w:right="1800" w:bottom="1440" w:left="1800" w:header="720" w:footer="720" w:gutter="0"/>
          <w:pgNumType w:fmt="numberInDash"/>
          <w:cols w:space="720" w:num="1"/>
          <w:docGrid w:type="lines" w:linePitch="312" w:charSpace="0"/>
        </w:sectPr>
      </w:pP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一、收入支出决算总体情况说明</w:t>
      </w:r>
    </w:p>
    <w:p>
      <w:pPr>
        <w:spacing w:beforeLines="0" w:afterLines="0"/>
        <w:ind w:firstLine="640" w:firstLineChars="200"/>
        <w:jc w:val="left"/>
        <w:rPr>
          <w:rFonts w:hint="eastAsia" w:ascii="黑体" w:hAnsi="黑体" w:eastAsia="黑体" w:cs="黑体"/>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2018年度收、支总计均为320.51万元。与2017年度相比，收、支总计各减少13.96万元，减少4.17%。主要原因是人员经费的变动。</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二、收入决算情况说明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default" w:ascii="黑体" w:hAnsi="黑体" w:eastAsia="黑体" w:cs="黑体"/>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2018年度收入合计320.51万元，其中：财政拨款收入319.31万元，占99.63%。其他收入1.20万元，占0.37%。</w:t>
      </w:r>
    </w:p>
    <w:p>
      <w:pPr>
        <w:keepNext w:val="0"/>
        <w:keepLines w:val="0"/>
        <w:pageBreakBefore w:val="0"/>
        <w:widowControl/>
        <w:tabs>
          <w:tab w:val="left" w:pos="5481"/>
        </w:tabs>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三、支出决算情况说明</w:t>
      </w:r>
      <w:r>
        <w:rPr>
          <w:rFonts w:hint="eastAsia" w:ascii="黑体" w:hAnsi="黑体" w:eastAsia="黑体" w:cs="黑体"/>
          <w:color w:val="auto"/>
          <w:sz w:val="32"/>
          <w:szCs w:val="32"/>
          <w:highlight w:val="none"/>
          <w:lang w:val="en-US" w:eastAsia="zh-CN"/>
        </w:rPr>
        <w:tab/>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2018年度支出合计320.51万元，其中：基本支出320.51万元，占100%。</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四、财政拨款收入支出决算总体情况说明</w:t>
      </w:r>
    </w:p>
    <w:p>
      <w:pPr>
        <w:spacing w:beforeLines="0" w:afterLines="0"/>
        <w:ind w:firstLine="640" w:firstLineChars="200"/>
        <w:jc w:val="left"/>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2018年度财政拨款收、支总计均为320.51万元。与2017年度相比，财政拨款收、支总计各减少13.96万元，减少4.17%。主要原因是人员经费的变动。</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五、一般公共预算财政拨款支出决算情况说明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楷体_GB2312" w:hAnsi="楷体_GB2312" w:eastAsia="楷体_GB2312" w:cs="楷体_GB2312"/>
          <w:color w:val="auto"/>
          <w:sz w:val="32"/>
          <w:szCs w:val="32"/>
          <w:highlight w:val="none"/>
          <w:lang w:val="en-US" w:eastAsia="zh-CN"/>
        </w:rPr>
      </w:pPr>
      <w:r>
        <w:rPr>
          <w:rFonts w:hint="eastAsia" w:ascii="楷体_GB2312" w:hAnsi="楷体_GB2312" w:eastAsia="楷体_GB2312" w:cs="楷体_GB2312"/>
          <w:color w:val="auto"/>
          <w:sz w:val="32"/>
          <w:szCs w:val="32"/>
          <w:highlight w:val="none"/>
          <w:lang w:val="en-US" w:eastAsia="zh-CN"/>
        </w:rPr>
        <w:t>（一）总体情况。</w:t>
      </w:r>
    </w:p>
    <w:p>
      <w:pPr>
        <w:spacing w:beforeLines="0" w:afterLines="0"/>
        <w:ind w:firstLine="640"/>
        <w:jc w:val="left"/>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2018年度一般公共预算财政拨款支出319.31万元，占支出合计的100%。与2017年度相比，一般公共预算财政拨款支出增加12.67万元，增加4.13%。主要原因是人员经费的变动。</w:t>
      </w:r>
    </w:p>
    <w:p>
      <w:pPr>
        <w:spacing w:beforeLines="0" w:afterLines="0"/>
        <w:ind w:firstLine="640"/>
        <w:jc w:val="left"/>
        <w:rPr>
          <w:rFonts w:hint="eastAsia" w:ascii="楷体_GB2312" w:hAnsi="楷体_GB2312" w:eastAsia="楷体_GB2312" w:cs="楷体_GB2312"/>
          <w:color w:val="auto"/>
          <w:sz w:val="32"/>
          <w:szCs w:val="32"/>
          <w:highlight w:val="none"/>
          <w:lang w:val="en-US" w:eastAsia="zh-CN"/>
        </w:rPr>
      </w:pPr>
      <w:r>
        <w:rPr>
          <w:rFonts w:hint="eastAsia" w:ascii="楷体_GB2312" w:hAnsi="楷体_GB2312" w:eastAsia="楷体_GB2312" w:cs="楷体_GB2312"/>
          <w:color w:val="auto"/>
          <w:sz w:val="32"/>
          <w:szCs w:val="32"/>
          <w:highlight w:val="none"/>
          <w:lang w:val="en-US" w:eastAsia="zh-CN"/>
        </w:rPr>
        <w:t>（二）结构情况。</w:t>
      </w:r>
    </w:p>
    <w:p>
      <w:pPr>
        <w:spacing w:beforeLines="0" w:afterLines="0"/>
        <w:ind w:firstLine="640"/>
        <w:jc w:val="left"/>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2018年度一般公共预算财政拨款支出319.31万元，主要用于以下方面：</w:t>
      </w:r>
      <w:r>
        <w:rPr>
          <w:rFonts w:hint="eastAsia" w:ascii="仿宋" w:hAnsi="仿宋" w:eastAsia="仿宋"/>
          <w:sz w:val="32"/>
        </w:rPr>
        <w:t>一般公共服务（类）支出</w:t>
      </w:r>
      <w:r>
        <w:rPr>
          <w:rFonts w:hint="eastAsia" w:ascii="仿宋" w:hAnsi="仿宋" w:eastAsia="仿宋"/>
          <w:sz w:val="32"/>
          <w:lang w:val="en-US" w:eastAsia="zh-CN"/>
        </w:rPr>
        <w:t>0</w:t>
      </w:r>
      <w:r>
        <w:rPr>
          <w:rFonts w:hint="eastAsia" w:ascii="仿宋" w:hAnsi="仿宋" w:eastAsia="仿宋"/>
          <w:sz w:val="32"/>
        </w:rPr>
        <w:t>万元，占</w:t>
      </w:r>
      <w:r>
        <w:rPr>
          <w:rFonts w:hint="eastAsia" w:ascii="仿宋" w:hAnsi="仿宋" w:eastAsia="仿宋"/>
          <w:sz w:val="32"/>
          <w:lang w:val="en-US" w:eastAsia="zh-CN"/>
        </w:rPr>
        <w:t>0</w:t>
      </w:r>
      <w:r>
        <w:rPr>
          <w:rFonts w:hint="eastAsia" w:ascii="仿宋" w:hAnsi="仿宋" w:eastAsia="仿宋"/>
          <w:sz w:val="32"/>
        </w:rPr>
        <w:t>%；外交（类）支出0万元，占0%；国防（类）支出0万元，占0%；公共安全（类）支出0万元，占0%；教育（类）支出0万元，占0%；科学技术（类）支出0万元，占0%；文化体育与传媒（类）支出0万元，占0%；社会保障和就业（类）支出</w:t>
      </w:r>
      <w:r>
        <w:rPr>
          <w:rFonts w:hint="eastAsia" w:ascii="仿宋" w:hAnsi="仿宋" w:eastAsia="仿宋"/>
          <w:sz w:val="32"/>
          <w:lang w:val="en-US" w:eastAsia="zh-CN"/>
        </w:rPr>
        <w:t>63.24</w:t>
      </w:r>
      <w:r>
        <w:rPr>
          <w:rFonts w:hint="eastAsia" w:ascii="仿宋" w:hAnsi="仿宋" w:eastAsia="仿宋"/>
          <w:sz w:val="32"/>
        </w:rPr>
        <w:t>万元，占</w:t>
      </w:r>
      <w:r>
        <w:rPr>
          <w:rFonts w:hint="eastAsia" w:ascii="仿宋" w:hAnsi="仿宋" w:eastAsia="仿宋"/>
          <w:sz w:val="32"/>
          <w:lang w:val="en-US" w:eastAsia="zh-CN"/>
        </w:rPr>
        <w:t>19.8</w:t>
      </w:r>
      <w:r>
        <w:rPr>
          <w:rFonts w:hint="eastAsia" w:ascii="仿宋" w:hAnsi="仿宋" w:eastAsia="仿宋"/>
          <w:sz w:val="32"/>
        </w:rPr>
        <w:t>%；医疗卫生和计划生育（类）支出</w:t>
      </w:r>
      <w:r>
        <w:rPr>
          <w:rFonts w:hint="eastAsia" w:ascii="仿宋" w:hAnsi="仿宋" w:eastAsia="仿宋"/>
          <w:sz w:val="32"/>
          <w:lang w:val="en-US" w:eastAsia="zh-CN"/>
        </w:rPr>
        <w:t>11.8</w:t>
      </w:r>
      <w:r>
        <w:rPr>
          <w:rFonts w:hint="eastAsia" w:ascii="仿宋" w:hAnsi="仿宋" w:eastAsia="仿宋"/>
          <w:sz w:val="32"/>
        </w:rPr>
        <w:t>万元，占</w:t>
      </w:r>
      <w:r>
        <w:rPr>
          <w:rFonts w:hint="eastAsia" w:ascii="仿宋" w:hAnsi="仿宋" w:eastAsia="仿宋"/>
          <w:sz w:val="32"/>
          <w:lang w:val="en-US" w:eastAsia="zh-CN"/>
        </w:rPr>
        <w:t>3.69</w:t>
      </w:r>
      <w:r>
        <w:rPr>
          <w:rFonts w:hint="eastAsia" w:ascii="仿宋" w:hAnsi="仿宋" w:eastAsia="仿宋"/>
          <w:sz w:val="32"/>
        </w:rPr>
        <w:t>%；节能环保（类）支出0万元，占0%；城乡社区（类）支出0万元，占0%；农林水（类）支出</w:t>
      </w:r>
      <w:r>
        <w:rPr>
          <w:rFonts w:hint="eastAsia" w:ascii="仿宋" w:hAnsi="仿宋" w:eastAsia="仿宋"/>
          <w:sz w:val="32"/>
          <w:lang w:val="en-US" w:eastAsia="zh-CN"/>
        </w:rPr>
        <w:t>4.56</w:t>
      </w:r>
      <w:r>
        <w:rPr>
          <w:rFonts w:hint="eastAsia" w:ascii="仿宋" w:hAnsi="仿宋" w:eastAsia="仿宋"/>
          <w:sz w:val="32"/>
        </w:rPr>
        <w:t>万元，占</w:t>
      </w:r>
      <w:r>
        <w:rPr>
          <w:rFonts w:hint="eastAsia" w:ascii="仿宋" w:hAnsi="仿宋" w:eastAsia="仿宋"/>
          <w:sz w:val="32"/>
          <w:lang w:val="en-US" w:eastAsia="zh-CN"/>
        </w:rPr>
        <w:t>1.43</w:t>
      </w:r>
      <w:r>
        <w:rPr>
          <w:rFonts w:hint="eastAsia" w:ascii="仿宋" w:hAnsi="仿宋" w:eastAsia="仿宋"/>
          <w:sz w:val="32"/>
        </w:rPr>
        <w:t>%；交通运输（类）支出0万元，占0%；资源勘探信息（类）支出0万元，占0%；商业服务业（类）支出</w:t>
      </w:r>
      <w:r>
        <w:rPr>
          <w:rFonts w:hint="eastAsia" w:ascii="仿宋" w:hAnsi="仿宋" w:eastAsia="仿宋"/>
          <w:sz w:val="32"/>
          <w:lang w:val="en-US" w:eastAsia="zh-CN"/>
        </w:rPr>
        <w:t>241.67</w:t>
      </w:r>
      <w:r>
        <w:rPr>
          <w:rFonts w:hint="eastAsia" w:ascii="仿宋" w:hAnsi="仿宋" w:eastAsia="仿宋"/>
          <w:sz w:val="32"/>
        </w:rPr>
        <w:t>万元，占</w:t>
      </w:r>
      <w:r>
        <w:rPr>
          <w:rFonts w:hint="eastAsia" w:ascii="仿宋" w:hAnsi="仿宋" w:eastAsia="仿宋"/>
          <w:sz w:val="32"/>
          <w:lang w:val="en-US" w:eastAsia="zh-CN"/>
        </w:rPr>
        <w:t>75.68</w:t>
      </w:r>
      <w:r>
        <w:rPr>
          <w:rFonts w:hint="eastAsia" w:ascii="仿宋" w:hAnsi="仿宋" w:eastAsia="仿宋"/>
          <w:sz w:val="32"/>
        </w:rPr>
        <w:t>%；金融（类）支出0万元，占0%；援助其他地区（类）支出0万元，占0%；国土海洋气象（类）支出0万元，占0%；住房保障（类）支出</w:t>
      </w:r>
      <w:r>
        <w:rPr>
          <w:rFonts w:hint="eastAsia" w:ascii="仿宋" w:hAnsi="仿宋" w:eastAsia="仿宋"/>
          <w:sz w:val="32"/>
          <w:lang w:val="en-US" w:eastAsia="zh-CN"/>
        </w:rPr>
        <w:t>11.34</w:t>
      </w:r>
      <w:r>
        <w:rPr>
          <w:rFonts w:hint="eastAsia" w:ascii="仿宋" w:hAnsi="仿宋" w:eastAsia="仿宋"/>
          <w:sz w:val="32"/>
        </w:rPr>
        <w:t>万元，占</w:t>
      </w:r>
      <w:r>
        <w:rPr>
          <w:rFonts w:hint="eastAsia" w:ascii="仿宋" w:hAnsi="仿宋" w:eastAsia="仿宋"/>
          <w:sz w:val="32"/>
          <w:lang w:val="en-US" w:eastAsia="zh-CN"/>
        </w:rPr>
        <w:t>3.55</w:t>
      </w:r>
      <w:r>
        <w:rPr>
          <w:rFonts w:hint="eastAsia" w:ascii="仿宋" w:hAnsi="仿宋" w:eastAsia="仿宋"/>
          <w:sz w:val="32"/>
        </w:rPr>
        <w:t>%；粮油物资储备（类）支出0万元，占0%；其他（类）支出0万元，占0%；债务还本（类）支出0万元，占0%；债务付息（类）支出0万元，占0%。</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楷体_GB2312" w:hAnsi="楷体_GB2312" w:eastAsia="楷体_GB2312" w:cs="楷体_GB2312"/>
          <w:color w:val="auto"/>
          <w:sz w:val="32"/>
          <w:szCs w:val="32"/>
          <w:highlight w:val="none"/>
          <w:lang w:val="en-US" w:eastAsia="zh-CN"/>
        </w:rPr>
      </w:pPr>
      <w:r>
        <w:rPr>
          <w:rFonts w:hint="eastAsia" w:ascii="楷体_GB2312" w:hAnsi="楷体_GB2312" w:eastAsia="楷体_GB2312" w:cs="楷体_GB2312"/>
          <w:color w:val="auto"/>
          <w:sz w:val="32"/>
          <w:szCs w:val="32"/>
          <w:highlight w:val="none"/>
          <w:lang w:val="en-US" w:eastAsia="zh-CN"/>
        </w:rPr>
        <w:t>（三）具体情况。</w:t>
      </w:r>
    </w:p>
    <w:p>
      <w:pPr>
        <w:spacing w:beforeLines="0" w:afterLines="0"/>
        <w:ind w:firstLine="640"/>
        <w:jc w:val="left"/>
        <w:rPr>
          <w:rFonts w:hint="eastAsia" w:ascii="仿宋" w:hAnsi="仿宋" w:eastAsia="仿宋" w:cs="仿宋"/>
          <w:sz w:val="32"/>
          <w:szCs w:val="32"/>
        </w:rPr>
      </w:pPr>
      <w:r>
        <w:rPr>
          <w:rFonts w:hint="eastAsia" w:ascii="仿宋_GB2312" w:hAnsi="仿宋_GB2312" w:eastAsia="仿宋_GB2312" w:cs="仿宋_GB2312"/>
          <w:color w:val="auto"/>
          <w:sz w:val="32"/>
          <w:szCs w:val="32"/>
          <w:highlight w:val="none"/>
          <w:lang w:val="en-US" w:eastAsia="zh-CN"/>
        </w:rPr>
        <w:t>2018年度一般公共预算财政拨款支出年初预算为266.86万元，支出决算为319.31万元，完成年初预算的119.65%。决算数与年初预算数存在差异的主要原因：</w:t>
      </w:r>
      <w:r>
        <w:rPr>
          <w:rFonts w:hint="eastAsia" w:ascii="仿宋" w:hAnsi="仿宋" w:eastAsia="仿宋" w:cs="仿宋"/>
          <w:b w:val="0"/>
          <w:i w:val="0"/>
          <w:caps w:val="0"/>
          <w:color w:val="000000"/>
          <w:spacing w:val="0"/>
          <w:sz w:val="32"/>
          <w:szCs w:val="32"/>
        </w:rPr>
        <w:t>一是人员经费增加，二是上年结转资金在本年支出。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其中：</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商业服务业等支出（类）商业流通事务（款）行政运行（项）。</w:t>
      </w:r>
      <w:r>
        <w:rPr>
          <w:rFonts w:hint="eastAsia" w:ascii="仿宋_GB2312" w:hAnsi="仿宋_GB2312" w:eastAsia="仿宋_GB2312" w:cs="仿宋_GB2312"/>
          <w:color w:val="auto"/>
          <w:sz w:val="32"/>
          <w:szCs w:val="32"/>
          <w:highlight w:val="none"/>
          <w:lang w:val="en-US" w:eastAsia="zh-CN"/>
        </w:rPr>
        <w:t>年初预算为266.86万元，支出决算为319.31万元，完成年初预算的119.65%。决算数与年初预算数存在差异的主要原因：</w:t>
      </w:r>
      <w:r>
        <w:rPr>
          <w:rFonts w:hint="eastAsia" w:ascii="仿宋" w:hAnsi="仿宋" w:eastAsia="仿宋" w:cs="仿宋"/>
          <w:b w:val="0"/>
          <w:i w:val="0"/>
          <w:caps w:val="0"/>
          <w:color w:val="000000"/>
          <w:spacing w:val="0"/>
          <w:sz w:val="32"/>
          <w:szCs w:val="32"/>
        </w:rPr>
        <w:t>一是人员经费增加，二是上年结转资金在本年支出。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六、一般公共预算财政拨款基本支出决算情况说明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2018年度一般公共预算财政拨款基本支出332.62万元。与2017年度相比，增加25.98万元，增长7.81%，主要原因：</w:t>
      </w:r>
      <w:r>
        <w:rPr>
          <w:rFonts w:hint="eastAsia" w:ascii="仿宋" w:hAnsi="仿宋" w:eastAsia="仿宋" w:cs="仿宋"/>
          <w:b w:val="0"/>
          <w:i w:val="0"/>
          <w:caps w:val="0"/>
          <w:color w:val="000000"/>
          <w:spacing w:val="0"/>
          <w:sz w:val="32"/>
          <w:szCs w:val="32"/>
        </w:rPr>
        <w:t>一是人员经费增加，二是上年结转资金在本年支出</w:t>
      </w:r>
      <w:r>
        <w:rPr>
          <w:rFonts w:hint="eastAsia" w:ascii="仿宋_GB2312" w:hAnsi="仿宋_GB2312" w:eastAsia="仿宋_GB2312" w:cs="仿宋_GB2312"/>
          <w:color w:val="auto"/>
          <w:sz w:val="32"/>
          <w:szCs w:val="32"/>
          <w:highlight w:val="none"/>
          <w:lang w:val="en-US" w:eastAsia="zh-CN"/>
        </w:rPr>
        <w:t>。其中：人员经费303.37万元，主要包括：基本工资、津贴补贴、伙食补助费、绩效工资、机关事业单位基本养老保险缴费、职业年金缴费、其他社会保障缴费、其他工资福利支出、离休费、退休费、抚恤金、生活补助、医疗费、奖励金、住房公积金、采暖补贴、物业服务补贴、其他对个人和家庭的补助支出；公用经费29.25万元，主要包括：办公费、水费、电费、邮电费、取暖费、物业管理费、差旅费、培训费、公务接待费、工会经费、福利费、公务用车运行维护费、其他商品和服务支出、信息网络及软件购置更新支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七、一般公共预算财政拨款“三公”经费支出决算情况说明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楷体_GB2312" w:hAnsi="楷体_GB2312" w:eastAsia="楷体_GB2312" w:cs="楷体_GB2312"/>
          <w:color w:val="auto"/>
          <w:sz w:val="32"/>
          <w:szCs w:val="32"/>
          <w:highlight w:val="none"/>
          <w:lang w:val="en-US" w:eastAsia="zh-CN"/>
        </w:rPr>
      </w:pPr>
      <w:r>
        <w:rPr>
          <w:rFonts w:hint="eastAsia" w:ascii="楷体_GB2312" w:hAnsi="楷体_GB2312" w:eastAsia="楷体_GB2312" w:cs="楷体_GB2312"/>
          <w:color w:val="auto"/>
          <w:sz w:val="32"/>
          <w:szCs w:val="32"/>
          <w:highlight w:val="none"/>
          <w:lang w:val="en-US" w:eastAsia="zh-CN"/>
        </w:rPr>
        <w:t>（一）“三公”经费财政拨款支出决算总体情况说明。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2018年度“三公”经费财政拨款支出预算为4万元，支出决算为1.78万元，完成预算的44.5%。2018年度“三公”经费支出决算数与预算数存在差异的主要原因是</w:t>
      </w:r>
      <w:r>
        <w:rPr>
          <w:rFonts w:hint="eastAsia" w:ascii="仿宋" w:hAnsi="仿宋" w:eastAsia="仿宋"/>
          <w:color w:val="auto"/>
          <w:sz w:val="32"/>
          <w:lang w:eastAsia="zh-CN"/>
        </w:rPr>
        <w:t>贯彻“八项规定”精神，压缩三公经费支出</w:t>
      </w:r>
      <w:r>
        <w:rPr>
          <w:rFonts w:hint="eastAsia" w:ascii="仿宋_GB2312" w:hAnsi="仿宋_GB2312" w:eastAsia="仿宋_GB2312" w:cs="仿宋_GB2312"/>
          <w:color w:val="auto"/>
          <w:sz w:val="32"/>
          <w:szCs w:val="32"/>
          <w:highlight w:val="none"/>
          <w:lang w:val="en-US" w:eastAsia="zh-CN"/>
        </w:rPr>
        <w:t>。</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楷体_GB2312" w:hAnsi="楷体_GB2312" w:eastAsia="楷体_GB2312" w:cs="楷体_GB2312"/>
          <w:color w:val="auto"/>
          <w:sz w:val="32"/>
          <w:szCs w:val="32"/>
          <w:highlight w:val="none"/>
          <w:lang w:val="en-US" w:eastAsia="zh-CN"/>
        </w:rPr>
      </w:pPr>
      <w:r>
        <w:rPr>
          <w:rFonts w:hint="eastAsia" w:ascii="楷体_GB2312" w:hAnsi="楷体_GB2312" w:eastAsia="楷体_GB2312" w:cs="楷体_GB2312"/>
          <w:color w:val="auto"/>
          <w:sz w:val="32"/>
          <w:szCs w:val="32"/>
          <w:highlight w:val="none"/>
          <w:lang w:val="en-US" w:eastAsia="zh-CN"/>
        </w:rPr>
        <w:t>（二）“三公”经费财政拨款支出决算具体情况说明。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2018年度“三公”经费财政拨款支出决算中，公务用车购置及运行费支出决算1.77万元，完成预算的55.43%，占99.8%；公务接待费支出决算0.0035万元，完成预算的0.43%，占2%。具体情况如下：</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1．公务用车购置及运行费支出1.77万元。其中：</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公务用车购置支出为0万元。</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公务用车运行支出1.77万元。主要用于汽车加油、</w:t>
      </w:r>
      <w:r>
        <w:rPr>
          <w:rFonts w:hint="eastAsia" w:ascii="仿宋" w:hAnsi="仿宋" w:eastAsia="仿宋"/>
          <w:sz w:val="32"/>
          <w:lang w:eastAsia="zh-CN"/>
        </w:rPr>
        <w:t>车辆维修等</w:t>
      </w:r>
      <w:r>
        <w:rPr>
          <w:rFonts w:hint="eastAsia" w:ascii="仿宋_GB2312" w:hAnsi="仿宋_GB2312" w:eastAsia="仿宋_GB2312" w:cs="仿宋_GB2312"/>
          <w:color w:val="auto"/>
          <w:sz w:val="32"/>
          <w:szCs w:val="32"/>
          <w:highlight w:val="none"/>
          <w:lang w:val="en-US" w:eastAsia="zh-CN"/>
        </w:rPr>
        <w:t>。2018年度期末，部门财政拨款公务用车保有量为2量。</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公务用车购置及运行费支出决算比2017年度减少0.18万元，下降9.23%,主要原因是</w:t>
      </w:r>
      <w:r>
        <w:rPr>
          <w:rFonts w:hint="eastAsia" w:ascii="仿宋" w:hAnsi="仿宋" w:eastAsia="仿宋"/>
          <w:color w:val="auto"/>
          <w:sz w:val="32"/>
          <w:lang w:eastAsia="zh-CN"/>
        </w:rPr>
        <w:t>贯彻“八项规定”精神，压缩三公经费支出</w:t>
      </w:r>
      <w:r>
        <w:rPr>
          <w:rFonts w:hint="eastAsia" w:ascii="仿宋_GB2312" w:hAnsi="仿宋_GB2312" w:eastAsia="仿宋_GB2312" w:cs="仿宋_GB2312"/>
          <w:color w:val="auto"/>
          <w:sz w:val="32"/>
          <w:szCs w:val="32"/>
          <w:highlight w:val="none"/>
          <w:lang w:val="en-US"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3.公务接待费支出0.0035万元。其中：</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其他国内公务接待支出0.0035万元。主要用于公务接待。</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公务接待费支出决算比2017年度减少0.3565万元，减少97.23%,主要原因是</w:t>
      </w:r>
      <w:r>
        <w:rPr>
          <w:rFonts w:hint="eastAsia" w:ascii="仿宋" w:hAnsi="仿宋" w:eastAsia="仿宋"/>
          <w:color w:val="auto"/>
          <w:sz w:val="32"/>
          <w:lang w:eastAsia="zh-CN"/>
        </w:rPr>
        <w:t>贯彻“八项规定”精神，压缩三公经费支出</w:t>
      </w:r>
      <w:r>
        <w:rPr>
          <w:rFonts w:hint="eastAsia" w:ascii="仿宋_GB2312" w:hAnsi="仿宋_GB2312" w:eastAsia="仿宋_GB2312" w:cs="仿宋_GB2312"/>
          <w:color w:val="auto"/>
          <w:sz w:val="32"/>
          <w:szCs w:val="32"/>
          <w:highlight w:val="none"/>
          <w:lang w:val="en-US" w:eastAsia="zh-CN"/>
        </w:rPr>
        <w:t>。</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八、预算绩效情况说明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楷体_GB2312" w:hAnsi="楷体_GB2312" w:eastAsia="楷体_GB2312" w:cs="楷体_GB2312"/>
          <w:color w:val="auto"/>
          <w:sz w:val="32"/>
          <w:szCs w:val="32"/>
          <w:highlight w:val="none"/>
          <w:lang w:val="en-US" w:eastAsia="zh-CN"/>
        </w:rPr>
      </w:pPr>
      <w:r>
        <w:rPr>
          <w:rFonts w:hint="eastAsia" w:ascii="楷体_GB2312" w:hAnsi="楷体_GB2312" w:eastAsia="楷体_GB2312" w:cs="楷体_GB2312"/>
          <w:color w:val="auto"/>
          <w:sz w:val="32"/>
          <w:szCs w:val="32"/>
          <w:highlight w:val="none"/>
          <w:lang w:val="en-US" w:eastAsia="zh-CN"/>
        </w:rPr>
        <w:t>（一）绩效管理工作开展情况。</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楷体" w:hAnsi="楷体" w:eastAsia="楷体"/>
          <w:sz w:val="32"/>
          <w:lang w:val="en-US" w:eastAsia="zh-CN"/>
        </w:rPr>
        <w:t>暂没有开展绩效评价。</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楷体_GB2312" w:hAnsi="楷体_GB2312" w:eastAsia="楷体_GB2312" w:cs="楷体_GB2312"/>
          <w:color w:val="auto"/>
          <w:sz w:val="32"/>
          <w:szCs w:val="32"/>
          <w:highlight w:val="none"/>
          <w:lang w:val="en-US" w:eastAsia="zh-CN"/>
        </w:rPr>
      </w:pPr>
      <w:r>
        <w:rPr>
          <w:rFonts w:hint="eastAsia" w:ascii="楷体_GB2312" w:hAnsi="楷体_GB2312" w:eastAsia="楷体_GB2312" w:cs="楷体_GB2312"/>
          <w:color w:val="auto"/>
          <w:sz w:val="32"/>
          <w:szCs w:val="32"/>
          <w:highlight w:val="none"/>
          <w:lang w:val="en-US" w:eastAsia="zh-CN"/>
        </w:rPr>
        <w:t>（二）项目绩效自评结果。</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楷体" w:hAnsi="楷体" w:eastAsia="楷体"/>
          <w:sz w:val="32"/>
          <w:lang w:val="en-US" w:eastAsia="zh-CN"/>
        </w:rPr>
        <w:t xml:space="preserve"> 无。</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九、政府性基金预算财政拨款支出决算情况说明</w:t>
      </w:r>
    </w:p>
    <w:p>
      <w:pPr>
        <w:spacing w:beforeLines="0" w:afterLines="0"/>
        <w:ind w:firstLine="640"/>
        <w:rPr>
          <w:rFonts w:hint="eastAsia" w:ascii="仿宋" w:hAnsi="仿宋" w:eastAsia="仿宋"/>
          <w:sz w:val="32"/>
        </w:rPr>
      </w:pPr>
      <w:r>
        <w:rPr>
          <w:rFonts w:hint="eastAsia" w:ascii="仿宋" w:hAnsi="仿宋" w:eastAsia="仿宋"/>
          <w:sz w:val="32"/>
        </w:rPr>
        <w:t>201</w:t>
      </w:r>
      <w:r>
        <w:rPr>
          <w:rFonts w:hint="eastAsia" w:ascii="仿宋" w:hAnsi="仿宋" w:eastAsia="仿宋"/>
          <w:sz w:val="32"/>
          <w:lang w:val="en-US" w:eastAsia="zh-CN"/>
        </w:rPr>
        <w:t>8</w:t>
      </w:r>
      <w:r>
        <w:rPr>
          <w:rFonts w:hint="eastAsia" w:ascii="仿宋" w:hAnsi="仿宋" w:eastAsia="仿宋"/>
          <w:sz w:val="32"/>
        </w:rPr>
        <w:t>年度政府性基金预算财政拨款支出年初预算为0万元，支出决算为0万元。</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十、机关运行经费支出情况说明</w:t>
      </w:r>
    </w:p>
    <w:p>
      <w:pPr>
        <w:spacing w:beforeLines="0" w:afterLines="0"/>
        <w:ind w:firstLine="640"/>
        <w:rPr>
          <w:rFonts w:hint="eastAsia" w:ascii="仿宋" w:hAnsi="仿宋" w:eastAsia="仿宋"/>
          <w:sz w:val="32"/>
        </w:rPr>
      </w:pPr>
      <w:r>
        <w:rPr>
          <w:rFonts w:hint="eastAsia" w:ascii="仿宋" w:hAnsi="仿宋" w:eastAsia="仿宋"/>
          <w:sz w:val="32"/>
        </w:rPr>
        <w:t>201</w:t>
      </w:r>
      <w:r>
        <w:rPr>
          <w:rFonts w:hint="eastAsia" w:ascii="仿宋" w:hAnsi="仿宋" w:eastAsia="仿宋"/>
          <w:sz w:val="32"/>
          <w:lang w:val="en-US" w:eastAsia="zh-CN"/>
        </w:rPr>
        <w:t>8</w:t>
      </w:r>
      <w:r>
        <w:rPr>
          <w:rFonts w:hint="eastAsia" w:ascii="仿宋" w:hAnsi="仿宋" w:eastAsia="仿宋"/>
          <w:sz w:val="32"/>
        </w:rPr>
        <w:t>年度机关运行经费支出</w:t>
      </w:r>
      <w:r>
        <w:rPr>
          <w:rFonts w:hint="eastAsia" w:ascii="仿宋" w:hAnsi="仿宋" w:eastAsia="仿宋"/>
          <w:sz w:val="32"/>
          <w:lang w:val="en-US" w:eastAsia="zh-CN"/>
        </w:rPr>
        <w:t>29.25</w:t>
      </w:r>
      <w:r>
        <w:rPr>
          <w:rFonts w:hint="eastAsia" w:ascii="仿宋" w:hAnsi="仿宋" w:eastAsia="仿宋"/>
          <w:sz w:val="32"/>
        </w:rPr>
        <w:t>万元，较201</w:t>
      </w:r>
      <w:r>
        <w:rPr>
          <w:rFonts w:hint="eastAsia" w:ascii="仿宋" w:hAnsi="仿宋" w:eastAsia="仿宋"/>
          <w:sz w:val="32"/>
          <w:lang w:val="en-US" w:eastAsia="zh-CN"/>
        </w:rPr>
        <w:t>7</w:t>
      </w:r>
      <w:r>
        <w:rPr>
          <w:rFonts w:hint="eastAsia" w:ascii="仿宋" w:hAnsi="仿宋" w:eastAsia="仿宋"/>
          <w:sz w:val="32"/>
        </w:rPr>
        <w:t>年度</w:t>
      </w:r>
      <w:r>
        <w:rPr>
          <w:rFonts w:hint="eastAsia" w:ascii="仿宋" w:hAnsi="仿宋" w:eastAsia="仿宋"/>
          <w:sz w:val="32"/>
          <w:lang w:eastAsia="zh-CN"/>
        </w:rPr>
        <w:t>减少</w:t>
      </w:r>
      <w:r>
        <w:rPr>
          <w:rFonts w:hint="eastAsia" w:ascii="仿宋" w:hAnsi="仿宋" w:eastAsia="仿宋"/>
          <w:sz w:val="32"/>
          <w:lang w:val="en-US" w:eastAsia="zh-CN"/>
        </w:rPr>
        <w:t>4.4</w:t>
      </w:r>
      <w:r>
        <w:rPr>
          <w:rFonts w:hint="eastAsia" w:ascii="仿宋" w:hAnsi="仿宋" w:eastAsia="仿宋"/>
          <w:sz w:val="32"/>
        </w:rPr>
        <w:t>万元，</w:t>
      </w:r>
      <w:r>
        <w:rPr>
          <w:rFonts w:hint="eastAsia" w:ascii="仿宋" w:hAnsi="仿宋" w:eastAsia="仿宋"/>
          <w:sz w:val="32"/>
          <w:lang w:eastAsia="zh-CN"/>
        </w:rPr>
        <w:t>减少</w:t>
      </w:r>
      <w:r>
        <w:rPr>
          <w:rFonts w:hint="eastAsia" w:ascii="仿宋" w:hAnsi="仿宋" w:eastAsia="仿宋"/>
          <w:sz w:val="32"/>
          <w:lang w:val="en-US" w:eastAsia="zh-CN"/>
        </w:rPr>
        <w:t>13.8</w:t>
      </w:r>
      <w:r>
        <w:rPr>
          <w:rFonts w:hint="eastAsia" w:ascii="仿宋" w:hAnsi="仿宋" w:eastAsia="仿宋"/>
          <w:sz w:val="32"/>
        </w:rPr>
        <w:t>%。的主要原因是：</w:t>
      </w:r>
      <w:r>
        <w:rPr>
          <w:rFonts w:hint="eastAsia" w:ascii="仿宋" w:hAnsi="仿宋" w:eastAsia="仿宋"/>
          <w:sz w:val="32"/>
          <w:lang w:eastAsia="zh-CN"/>
        </w:rPr>
        <w:t>人员减少，各项经费减少</w:t>
      </w:r>
      <w:r>
        <w:rPr>
          <w:rFonts w:hint="eastAsia" w:ascii="仿宋" w:hAnsi="仿宋" w:eastAsia="仿宋"/>
          <w:sz w:val="32"/>
        </w:rPr>
        <w:t>。</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十一、政府采购支出情况说明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 w:hAnsi="仿宋" w:eastAsia="仿宋"/>
          <w:sz w:val="32"/>
        </w:rPr>
      </w:pPr>
      <w:r>
        <w:rPr>
          <w:rFonts w:hint="eastAsia" w:ascii="仿宋" w:hAnsi="仿宋" w:eastAsia="仿宋"/>
          <w:sz w:val="32"/>
        </w:rPr>
        <w:t>201</w:t>
      </w:r>
      <w:r>
        <w:rPr>
          <w:rFonts w:hint="eastAsia" w:ascii="仿宋" w:hAnsi="仿宋" w:eastAsia="仿宋"/>
          <w:sz w:val="32"/>
          <w:lang w:val="en-US" w:eastAsia="zh-CN"/>
        </w:rPr>
        <w:t>8</w:t>
      </w:r>
      <w:r>
        <w:rPr>
          <w:rFonts w:hint="eastAsia" w:ascii="仿宋" w:hAnsi="仿宋" w:eastAsia="仿宋"/>
          <w:sz w:val="32"/>
        </w:rPr>
        <w:t>年度政府采购支出总额0万元。</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十二、国有资产占用情况说明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2018年期末，三门峡市医药总公司共有车辆2辆，其中：一般公务用车2辆；单位价值50万元以上通用设备0台（套），单位价值100万元以上专用设备0台（套）。</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十三、其他重要事项的情况说明</w:t>
      </w:r>
    </w:p>
    <w:p>
      <w:pPr>
        <w:widowControl/>
        <w:ind w:firstLine="640" w:firstLineChars="200"/>
        <w:jc w:val="left"/>
        <w:rPr>
          <w:rFonts w:hint="eastAsia" w:ascii="楷体_GB2312" w:hAnsi="楷体_GB2312" w:eastAsia="楷体_GB2312" w:cs="楷体_GB2312"/>
          <w:color w:val="auto"/>
          <w:sz w:val="32"/>
          <w:szCs w:val="32"/>
          <w:highlight w:val="none"/>
          <w:lang w:val="en-US" w:eastAsia="zh-CN"/>
        </w:rPr>
      </w:pPr>
      <w:r>
        <w:rPr>
          <w:rFonts w:hint="eastAsia" w:ascii="楷体_GB2312" w:hAnsi="楷体_GB2312" w:eastAsia="楷体_GB2312" w:cs="楷体_GB2312"/>
          <w:color w:val="auto"/>
          <w:sz w:val="32"/>
          <w:szCs w:val="32"/>
          <w:highlight w:val="none"/>
          <w:lang w:val="en-US" w:eastAsia="zh-CN"/>
        </w:rPr>
        <w:t>无</w:t>
      </w:r>
    </w:p>
    <w:p>
      <w:pPr>
        <w:widowControl/>
        <w:jc w:val="left"/>
        <w:rPr>
          <w:rFonts w:hint="eastAsia" w:ascii="楷体_GB2312" w:hAnsi="楷体_GB2312" w:eastAsia="楷体_GB2312" w:cs="楷体_GB2312"/>
          <w:color w:val="auto"/>
          <w:sz w:val="32"/>
          <w:szCs w:val="32"/>
          <w:highlight w:val="none"/>
          <w:lang w:val="en-US" w:eastAsia="zh-CN"/>
        </w:rPr>
        <w:sectPr>
          <w:pgSz w:w="11906" w:h="16838"/>
          <w:pgMar w:top="1440" w:right="1800" w:bottom="1440" w:left="1800" w:header="720" w:footer="720" w:gutter="0"/>
          <w:pgNumType w:fmt="numberInDash"/>
          <w:cols w:space="720" w:num="1"/>
          <w:docGrid w:type="lines" w:linePitch="312" w:charSpace="0"/>
        </w:sectPr>
      </w:pPr>
    </w:p>
    <w:p>
      <w:pPr>
        <w:jc w:val="left"/>
        <w:rPr>
          <w:rFonts w:ascii="黑体" w:hAnsi="黑体" w:eastAsia="黑体" w:cs="黑体"/>
          <w:color w:val="auto"/>
          <w:sz w:val="32"/>
          <w:szCs w:val="32"/>
          <w:highlight w:val="none"/>
        </w:rPr>
      </w:pPr>
    </w:p>
    <w:p>
      <w:pPr>
        <w:jc w:val="left"/>
        <w:rPr>
          <w:rFonts w:ascii="黑体" w:hAnsi="黑体" w:eastAsia="黑体" w:cs="黑体"/>
          <w:color w:val="auto"/>
          <w:sz w:val="32"/>
          <w:szCs w:val="32"/>
          <w:highlight w:val="none"/>
        </w:rPr>
      </w:pPr>
    </w:p>
    <w:p>
      <w:pPr>
        <w:jc w:val="left"/>
        <w:rPr>
          <w:rFonts w:ascii="黑体" w:hAnsi="黑体" w:eastAsia="黑体" w:cs="黑体"/>
          <w:color w:val="auto"/>
          <w:sz w:val="32"/>
          <w:szCs w:val="32"/>
          <w:highlight w:val="none"/>
        </w:rPr>
      </w:pPr>
    </w:p>
    <w:p>
      <w:pPr>
        <w:jc w:val="left"/>
        <w:rPr>
          <w:rFonts w:ascii="黑体" w:hAnsi="黑体" w:eastAsia="黑体" w:cs="黑体"/>
          <w:color w:val="auto"/>
          <w:sz w:val="32"/>
          <w:szCs w:val="32"/>
          <w:highlight w:val="none"/>
        </w:rPr>
      </w:pPr>
    </w:p>
    <w:p>
      <w:pPr>
        <w:jc w:val="left"/>
        <w:rPr>
          <w:rFonts w:ascii="黑体" w:hAnsi="黑体" w:eastAsia="黑体" w:cs="黑体"/>
          <w:color w:val="auto"/>
          <w:sz w:val="32"/>
          <w:szCs w:val="32"/>
          <w:highlight w:val="none"/>
        </w:rPr>
      </w:pPr>
    </w:p>
    <w:p>
      <w:pPr>
        <w:jc w:val="left"/>
        <w:rPr>
          <w:rFonts w:ascii="黑体" w:hAnsi="黑体" w:eastAsia="黑体" w:cs="黑体"/>
          <w:color w:val="auto"/>
          <w:sz w:val="32"/>
          <w:szCs w:val="32"/>
          <w:highlight w:val="none"/>
        </w:rPr>
      </w:pPr>
    </w:p>
    <w:p>
      <w:pPr>
        <w:jc w:val="left"/>
        <w:rPr>
          <w:rFonts w:ascii="黑体" w:hAnsi="黑体" w:eastAsia="黑体" w:cs="黑体"/>
          <w:color w:val="auto"/>
          <w:sz w:val="32"/>
          <w:szCs w:val="32"/>
          <w:highlight w:val="none"/>
        </w:rPr>
      </w:pPr>
    </w:p>
    <w:p>
      <w:pPr>
        <w:jc w:val="center"/>
        <w:outlineLvl w:val="9"/>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第四部分　　名词解释</w:t>
      </w: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sectPr>
          <w:pgSz w:w="11906" w:h="16838"/>
          <w:pgMar w:top="1440" w:right="1531" w:bottom="1440" w:left="1587" w:header="850" w:footer="992" w:gutter="0"/>
          <w:pgNumType w:fmt="numberInDash"/>
          <w:cols w:space="720" w:num="1"/>
          <w:rtlGutter w:val="0"/>
          <w:docGrid w:type="lines" w:linePitch="317" w:charSpace="0"/>
        </w:sectPr>
      </w:pP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一、财政拨款收入：</w:t>
      </w:r>
      <w:r>
        <w:rPr>
          <w:rFonts w:hint="eastAsia" w:ascii="仿宋_GB2312" w:hAnsi="仿宋_GB2312" w:eastAsia="仿宋_GB2312" w:cs="仿宋_GB2312"/>
          <w:color w:val="auto"/>
          <w:sz w:val="32"/>
          <w:szCs w:val="32"/>
          <w:highlight w:val="none"/>
          <w:lang w:val="en-US" w:eastAsia="zh-CN"/>
        </w:rPr>
        <w:t>单位从同级政府财政部门取得的各类财政拨款。</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二、事业收入：事业单位开展专业业务活动及其辅助活动取得的收入。</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三、上级补助收入：事业单位从主管部门和上级单位取得的非财政补助收入。</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四、附属单位上缴收入：事业单位取得附属独立核算单位根据有关规定上缴的收入。</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五、经营收入：事业单位在专业业务活动及其辅助活动之外开展非独立核算经营活动取得的收入。</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六、其他收入：单位取得的除“财政拨款收入”、“事业收入”、“上级补助收入”、“附属单位上缴收入”、“经营收入”等以外的收入。</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七、用事业基金弥补收支差额：事业单位在当年收入不足以安排当年支出的情况下，使用以前年度积累的事业基金（事业单位当年收支相抵后按国家规定提取、用于弥补以后年度收支差额的基金）弥补当年收支缺口的资金。</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八、基本支出：为保障机构正常运转、完成日常工作任务而发生的人员支出和公用支出。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九、项目支出：基本支出之外为完成特定行政任务和事业发展目标所发生的支出。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三公”经费：纳入同级财政预决算管理“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十二、工资福利支出：单位支付给在职职工和编制外长期聘用人员的各类劳动报酬，以及为上述人员缴纳的各项社会保险费等。</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十三、商品和服务支出：单位购买商品和服务的支出。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十四、对个人和家庭的补助支出：单位用于对个人和家庭的补助支出。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十五、年末结转：本年度或以前年度预算安排，已执行但尚未完成或因客观条件发生变化无法按原计划实施，需延迟到以后年度按有关规定继续使用的资金。</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黑体" w:hAnsi="仿宋_GB2312" w:eastAsia="黑体"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十六、年末结余：本年度或以前年度预算安排，已执行完毕或因客观条件发生变化无法按原预算安排实施，不需要再使用或无法按原预算安排继续使用的资金。</w:t>
      </w:r>
    </w:p>
    <w:p/>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寰蒋闆呴粦">
    <w:altName w:val="Segoe Print"/>
    <w:panose1 w:val="00000000000000000000"/>
    <w:charset w:val="00"/>
    <w:family w:val="auto"/>
    <w:pitch w:val="default"/>
    <w:sig w:usb0="00000000" w:usb1="00000000" w:usb2="00000000" w:usb3="00000000" w:csb0="00040001"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lang w:eastAsia="zh-CN"/>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rPr>
                        <w:rFonts w:hint="eastAsia"/>
                        <w:lang w:eastAsia="zh-CN"/>
                      </w:rPr>
                    </w:pP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CF5F3DF"/>
    <w:multiLevelType w:val="singleLevel"/>
    <w:tmpl w:val="ECF5F3DF"/>
    <w:lvl w:ilvl="0" w:tentative="0">
      <w:start w:val="1"/>
      <w:numFmt w:val="chineseCounting"/>
      <w:suff w:val="nothing"/>
      <w:lvlText w:val="第%1部分　"/>
      <w:lvlJc w:val="left"/>
      <w:rPr>
        <w:rFonts w:hint="eastAsia"/>
      </w:rPr>
    </w:lvl>
  </w:abstractNum>
  <w:abstractNum w:abstractNumId="1">
    <w:nsid w:val="57A246D3"/>
    <w:multiLevelType w:val="singleLevel"/>
    <w:tmpl w:val="57A246D3"/>
    <w:lvl w:ilvl="0" w:tentative="0">
      <w:start w:val="1"/>
      <w:numFmt w:val="decimal"/>
      <w:suff w:val="nothing"/>
      <w:lvlText w:val="%1、"/>
      <w:lvlJc w:val="left"/>
    </w:lvl>
  </w:abstractNum>
  <w:abstractNum w:abstractNumId="2">
    <w:nsid w:val="5971BE17"/>
    <w:multiLevelType w:val="singleLevel"/>
    <w:tmpl w:val="5971BE17"/>
    <w:lvl w:ilvl="0" w:tentative="0">
      <w:start w:val="1"/>
      <w:numFmt w:val="chineseCounting"/>
      <w:suff w:val="nothing"/>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5F3760"/>
    <w:rsid w:val="05271C6D"/>
    <w:rsid w:val="075017D9"/>
    <w:rsid w:val="156F2A5D"/>
    <w:rsid w:val="165905FF"/>
    <w:rsid w:val="18121EF1"/>
    <w:rsid w:val="28180EBE"/>
    <w:rsid w:val="285F3760"/>
    <w:rsid w:val="30B1369E"/>
    <w:rsid w:val="445D26CF"/>
    <w:rsid w:val="446A76C3"/>
    <w:rsid w:val="59C87A6C"/>
    <w:rsid w:val="5A877F13"/>
    <w:rsid w:val="61C23502"/>
    <w:rsid w:val="6A754A15"/>
    <w:rsid w:val="758E25F7"/>
    <w:rsid w:val="76DD1830"/>
    <w:rsid w:val="7D390C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character" w:styleId="5">
    <w:name w:val="FollowedHyperlink"/>
    <w:basedOn w:val="4"/>
    <w:uiPriority w:val="0"/>
    <w:rPr>
      <w:color w:val="800080"/>
      <w:u w:val="single"/>
    </w:rPr>
  </w:style>
  <w:style w:type="character" w:styleId="6">
    <w:name w:val="Hyperlink"/>
    <w:unhideWhenUsed/>
    <w:qFormat/>
    <w:uiPriority w:val="99"/>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52</TotalTime>
  <ScaleCrop>false</ScaleCrop>
  <LinksUpToDate>false</LinksUpToDate>
  <CharactersWithSpaces>0</CharactersWithSpaces>
  <Application>WPS Office_11.1.0.8648_F1E327BC-269C-435d-A152-05C5408002CA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2019-09-10T08:25:00Z</dcterms:created>
  <dc:creator>Administrator</dc:creator>
  <cp:lastModifiedBy>浪花一朵朵</cp:lastModifiedBy>
  <dcterms:modified xsi:type="dcterms:W3CDTF">2019-09-16T01:45:35Z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2052-11.1.0.8648</vt:lpwstr>
  </property>
</Properties>
</file>