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宋体" w:eastAsia="黑体" w:cs="宋体"/>
          <w:color w:val="auto"/>
          <w:kern w:val="0"/>
          <w:sz w:val="28"/>
          <w:szCs w:val="28"/>
          <w:highlight w:val="none"/>
          <w:lang w:val="en-US" w:eastAsia="zh-CN"/>
        </w:rPr>
      </w:pPr>
      <w:bookmarkStart w:id="0" w:name="_GoBack"/>
      <w:bookmarkEnd w:id="0"/>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numPr>
          <w:ilvl w:val="0"/>
          <w:numId w:val="0"/>
        </w:numPr>
        <w:ind w:leftChars="0"/>
        <w:jc w:val="center"/>
        <w:rPr>
          <w:rFonts w:hint="eastAsia" w:ascii="黑体" w:hAnsi="黑体" w:eastAsia="黑体" w:cs="黑体"/>
          <w:snapToGrid w:val="0"/>
          <w:color w:val="auto"/>
          <w:spacing w:val="113"/>
          <w:kern w:val="13"/>
          <w:sz w:val="52"/>
          <w:szCs w:val="52"/>
          <w:highlight w:val="none"/>
        </w:rPr>
      </w:pPr>
      <w:r>
        <w:rPr>
          <w:rFonts w:hint="eastAsia" w:ascii="黑体" w:hAnsi="黑体" w:eastAsia="黑体" w:cs="黑体"/>
          <w:snapToGrid w:val="0"/>
          <w:color w:val="auto"/>
          <w:spacing w:val="113"/>
          <w:kern w:val="13"/>
          <w:sz w:val="52"/>
          <w:szCs w:val="52"/>
          <w:highlight w:val="none"/>
        </w:rPr>
        <w:t>三门峡市医疗保障局</w:t>
      </w:r>
    </w:p>
    <w:p>
      <w:pPr>
        <w:numPr>
          <w:ilvl w:val="0"/>
          <w:numId w:val="0"/>
        </w:numPr>
        <w:ind w:leftChars="0"/>
        <w:jc w:val="center"/>
        <w:rPr>
          <w:rFonts w:hint="eastAsia" w:ascii="黑体" w:hAnsi="黑体" w:eastAsia="黑体" w:cs="黑体"/>
          <w:snapToGrid w:val="0"/>
          <w:color w:val="auto"/>
          <w:spacing w:val="113"/>
          <w:kern w:val="13"/>
          <w:sz w:val="52"/>
          <w:szCs w:val="52"/>
          <w:highlight w:val="none"/>
        </w:rPr>
      </w:pPr>
      <w:r>
        <w:rPr>
          <w:rFonts w:hint="eastAsia" w:ascii="黑体" w:hAnsi="黑体" w:eastAsia="黑体" w:cs="黑体"/>
          <w:snapToGrid w:val="0"/>
          <w:color w:val="auto"/>
          <w:spacing w:val="113"/>
          <w:kern w:val="13"/>
          <w:sz w:val="52"/>
          <w:szCs w:val="52"/>
          <w:highlight w:val="none"/>
          <w:lang w:eastAsia="zh-CN"/>
        </w:rPr>
        <w:t>20</w:t>
      </w:r>
      <w:r>
        <w:rPr>
          <w:rFonts w:hint="eastAsia" w:ascii="黑体" w:hAnsi="黑体" w:eastAsia="黑体" w:cs="黑体"/>
          <w:snapToGrid w:val="0"/>
          <w:color w:val="auto"/>
          <w:spacing w:val="113"/>
          <w:kern w:val="13"/>
          <w:sz w:val="52"/>
          <w:szCs w:val="52"/>
          <w:highlight w:val="none"/>
          <w:lang w:val="en-US" w:eastAsia="zh-CN"/>
        </w:rPr>
        <w:t>20</w:t>
      </w:r>
      <w:r>
        <w:rPr>
          <w:rFonts w:hint="eastAsia" w:ascii="黑体" w:hAnsi="黑体" w:eastAsia="黑体" w:cs="黑体"/>
          <w:snapToGrid w:val="0"/>
          <w:color w:val="auto"/>
          <w:spacing w:val="113"/>
          <w:kern w:val="13"/>
          <w:sz w:val="52"/>
          <w:szCs w:val="52"/>
          <w:highlight w:val="none"/>
          <w:lang w:eastAsia="zh-CN"/>
        </w:rPr>
        <w:t>年度</w:t>
      </w:r>
      <w:r>
        <w:rPr>
          <w:rFonts w:hint="eastAsia" w:ascii="黑体" w:hAnsi="黑体" w:eastAsia="黑体" w:cs="黑体"/>
          <w:snapToGrid w:val="0"/>
          <w:color w:val="auto"/>
          <w:spacing w:val="113"/>
          <w:kern w:val="13"/>
          <w:sz w:val="52"/>
          <w:szCs w:val="52"/>
          <w:highlight w:val="none"/>
          <w:lang w:val="en-US" w:eastAsia="zh-CN"/>
        </w:rPr>
        <w:t>部门</w:t>
      </w:r>
      <w:r>
        <w:rPr>
          <w:rFonts w:hint="eastAsia" w:ascii="黑体" w:hAnsi="黑体" w:eastAsia="黑体" w:cs="黑体"/>
          <w:snapToGrid w:val="0"/>
          <w:color w:val="auto"/>
          <w:spacing w:val="113"/>
          <w:kern w:val="13"/>
          <w:sz w:val="52"/>
          <w:szCs w:val="52"/>
          <w:highlight w:val="none"/>
        </w:rPr>
        <w:t>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6838" w:h="11906" w:orient="landscape"/>
          <w:pgMar w:top="1587" w:right="1440" w:bottom="1531" w:left="1440"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二〇二一年九月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szCs w:val="32"/>
          <w:highlight w:val="none"/>
          <w:lang w:val="en-US" w:eastAsia="zh-CN"/>
        </w:rPr>
        <w:t xml:space="preserve">   </w:t>
      </w:r>
      <w:r>
        <w:rPr>
          <w:rFonts w:ascii="微软雅黑" w:hAnsi="微软雅黑" w:eastAsia="微软雅黑" w:cs="微软雅黑"/>
          <w:b w:val="0"/>
          <w:bCs w:val="0"/>
          <w:i w:val="0"/>
          <w:iCs w:val="0"/>
          <w:caps w:val="0"/>
          <w:color w:val="000000"/>
          <w:spacing w:val="0"/>
          <w:sz w:val="31"/>
          <w:szCs w:val="31"/>
        </w:rPr>
        <w:t>三门峡市</w:t>
      </w:r>
      <w:r>
        <w:rPr>
          <w:rFonts w:hint="eastAsia" w:ascii="微软雅黑" w:hAnsi="微软雅黑" w:eastAsia="微软雅黑" w:cs="微软雅黑"/>
          <w:b w:val="0"/>
          <w:bCs w:val="0"/>
          <w:i w:val="0"/>
          <w:iCs w:val="0"/>
          <w:caps w:val="0"/>
          <w:color w:val="000000"/>
          <w:spacing w:val="0"/>
          <w:sz w:val="31"/>
          <w:szCs w:val="31"/>
        </w:rPr>
        <w:t>医疗保障局</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w:t>
      </w:r>
      <w:r>
        <w:rPr>
          <w:rFonts w:hint="eastAsia" w:ascii="黑体" w:hAnsi="黑体" w:eastAsia="黑体" w:cs="黑体"/>
          <w:color w:val="auto"/>
          <w:sz w:val="32"/>
          <w:szCs w:val="32"/>
          <w:highlight w:val="none"/>
          <w:lang w:val="en-US" w:eastAsia="zh-CN"/>
        </w:rPr>
        <w:t xml:space="preserve">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sectPr>
          <w:footerReference r:id="rId3" w:type="default"/>
          <w:footerReference r:id="rId4" w:type="even"/>
          <w:pgSz w:w="16838" w:h="11906" w:orient="landscape"/>
          <w:pgMar w:top="1803" w:right="1440" w:bottom="1463" w:left="1440" w:header="720" w:footer="720" w:gutter="0"/>
          <w:pgNumType w:fmt="numberInDash"/>
          <w:cols w:space="0" w:num="1"/>
          <w:rtlGutter w:val="0"/>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三门峡市医疗保障局概况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1、拟订全市医疗保险、生育保险、离休人员医疗保障、医疗救助等医疗保障制度的规章草案和政策、规划、标准并组织实施。完善医保筹资和报销调整机制，推行按病种付费为主的复合型支付方式。</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2、贯彻执行国家、省医疗保障基金监督管理办法，监督管理全市医疗保障基金，建立健全医疗保障基金安全防控机制，推进医疗保障基金支付方式改革。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3、组织拟定全市医疗保障筹资和待遇政策，完善动态调整和区域调剂平衡机制，统筹城乡医疗保障待遇标准，建立健全与筹资水平相适应的待遇调整机制。健全完善大病保险制度。推进长期护理保险制度改革。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4、组织拟订城乡统一的药、医用耗材、医疗服务项目、医疗服务设施等医保目录和支付协标准，建立动态调整机制，拟订医保目录准入谈判规则并组织实施。</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5、组织拟订全市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6、拟订全市药品、医用耗材的招标采购政策并监督实施，指导药品、医用耗材招标采购平台建设。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7、拟订全市定点医药机构协议和支付管理办法并组织实施，构建医保智能监管平台，建立健全医疗保障信用评价体系和信息披露制度，监督管理纳入医保范围内的医疗服务行为和医疗费用，依法查处医疗保障领域违法违规行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8、负责全市医疗保障经办管理、公共服务体系和信息化建设。组织拟订和完善异地就医管理和费用结算政策；建立健全医疗保障关系转移接续制度。开展医疗保障领域对外合作交流。</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9、完成市委、市政府交办的其他任务。</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三门峡市医疗保障局</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val="en-US" w:eastAsia="zh-CN"/>
        </w:rPr>
        <w:t>局办公室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规划财务和法规科、职工待遇保障科、居民待遇保障科、医药服务管理科、医药价格和招标采购科、基金监管科</w:t>
      </w:r>
      <w:r>
        <w:rPr>
          <w:rFonts w:hint="eastAsia" w:ascii="仿宋_GB2312" w:hAnsi="仿宋_GB2312" w:eastAsia="仿宋_GB2312" w:cs="仿宋_GB2312"/>
          <w:kern w:val="0"/>
          <w:sz w:val="32"/>
          <w:szCs w:val="32"/>
        </w:rPr>
        <w:t>。另设有</w:t>
      </w:r>
      <w:r>
        <w:rPr>
          <w:rFonts w:hint="eastAsia" w:ascii="仿宋_GB2312" w:hAnsi="仿宋_GB2312" w:eastAsia="仿宋_GB2312" w:cs="仿宋_GB2312"/>
          <w:sz w:val="32"/>
          <w:szCs w:val="32"/>
        </w:rPr>
        <w:t>三门峡市社会医疗保险中心</w:t>
      </w:r>
      <w:r>
        <w:rPr>
          <w:rFonts w:hint="eastAsia" w:ascii="仿宋_GB2312" w:hAnsi="仿宋_GB2312" w:eastAsia="仿宋_GB2312" w:cs="仿宋_GB2312"/>
          <w:sz w:val="32"/>
          <w:szCs w:val="32"/>
          <w:lang w:val="en-US" w:eastAsia="zh-CN"/>
        </w:rPr>
        <w:t>和三门峡市医药采购管理服务中心</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三门峡市医疗保障局</w:t>
      </w:r>
      <w:r>
        <w:rPr>
          <w:rFonts w:hint="eastAsia" w:ascii="仿宋_GB2312" w:hAnsi="仿宋_GB2312" w:eastAsia="仿宋_GB2312" w:cs="仿宋_GB2312"/>
          <w:kern w:val="0"/>
          <w:sz w:val="32"/>
          <w:szCs w:val="32"/>
        </w:rPr>
        <w:t>部门决算包括：本级决算、所属事业单位决算。</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2020年度，纳入本部门决算编制范围的单位共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个，其中二级预算单位包括</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三门峡市医疗保障局</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三门峡市社会医疗保险中心</w:t>
      </w:r>
      <w:r>
        <w:rPr>
          <w:rFonts w:hint="eastAsia" w:ascii="仿宋_GB2312" w:hAnsi="仿宋_GB2312" w:eastAsia="仿宋_GB2312" w:cs="仿宋_GB2312"/>
          <w:sz w:val="32"/>
          <w:szCs w:val="32"/>
          <w:lang w:eastAsia="zh-CN"/>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lang w:val="en-US" w:eastAsia="zh-CN"/>
        </w:rPr>
        <w:t>三门峡市医药采购管理服务中心</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br w:type="textWrapping"/>
      </w: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864600" cy="5228590"/>
            <wp:effectExtent l="0" t="0" r="12700" b="10160"/>
            <wp:docPr id="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
                    <pic:cNvPicPr>
                      <a:picLocks noChangeAspect="1"/>
                    </pic:cNvPicPr>
                  </pic:nvPicPr>
                  <pic:blipFill>
                    <a:blip r:embed="rId6"/>
                    <a:stretch>
                      <a:fillRect/>
                    </a:stretch>
                  </pic:blipFill>
                  <pic:spPr>
                    <a:xfrm>
                      <a:off x="0" y="0"/>
                      <a:ext cx="8864600" cy="5228590"/>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8859520" cy="5467350"/>
            <wp:effectExtent l="0" t="0" r="17780" b="0"/>
            <wp:docPr id="6"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
                    <pic:cNvPicPr>
                      <a:picLocks noChangeAspect="1"/>
                    </pic:cNvPicPr>
                  </pic:nvPicPr>
                  <pic:blipFill>
                    <a:blip r:embed="rId7"/>
                    <a:stretch>
                      <a:fillRect/>
                    </a:stretch>
                  </pic:blipFill>
                  <pic:spPr>
                    <a:xfrm>
                      <a:off x="0" y="0"/>
                      <a:ext cx="8859520" cy="5467350"/>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862695" cy="6091555"/>
            <wp:effectExtent l="0" t="0" r="14605" b="4445"/>
            <wp:docPr id="5"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3"/>
                    <pic:cNvPicPr>
                      <a:picLocks noChangeAspect="1"/>
                    </pic:cNvPicPr>
                  </pic:nvPicPr>
                  <pic:blipFill>
                    <a:blip r:embed="rId8"/>
                    <a:stretch>
                      <a:fillRect/>
                    </a:stretch>
                  </pic:blipFill>
                  <pic:spPr>
                    <a:xfrm>
                      <a:off x="0" y="0"/>
                      <a:ext cx="8862695" cy="6091555"/>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525510" cy="6029325"/>
            <wp:effectExtent l="0" t="0" r="8890" b="9525"/>
            <wp:docPr id="7"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
                    <pic:cNvPicPr>
                      <a:picLocks noChangeAspect="1"/>
                    </pic:cNvPicPr>
                  </pic:nvPicPr>
                  <pic:blipFill>
                    <a:blip r:embed="rId9"/>
                    <a:stretch>
                      <a:fillRect/>
                    </a:stretch>
                  </pic:blipFill>
                  <pic:spPr>
                    <a:xfrm>
                      <a:off x="0" y="0"/>
                      <a:ext cx="8525510" cy="6029325"/>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371840" cy="5274310"/>
            <wp:effectExtent l="0" t="0" r="10160" b="2540"/>
            <wp:docPr id="9"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5"/>
                    <pic:cNvPicPr>
                      <a:picLocks noChangeAspect="1"/>
                    </pic:cNvPicPr>
                  </pic:nvPicPr>
                  <pic:blipFill>
                    <a:blip r:embed="rId10"/>
                    <a:stretch>
                      <a:fillRect/>
                    </a:stretch>
                  </pic:blipFill>
                  <pic:spPr>
                    <a:xfrm>
                      <a:off x="0" y="0"/>
                      <a:ext cx="8371840" cy="5274310"/>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854440" cy="5213350"/>
            <wp:effectExtent l="0" t="0" r="3810" b="6350"/>
            <wp:docPr id="10"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6"/>
                    <pic:cNvPicPr>
                      <a:picLocks noChangeAspect="1"/>
                    </pic:cNvPicPr>
                  </pic:nvPicPr>
                  <pic:blipFill>
                    <a:blip r:embed="rId11"/>
                    <a:stretch>
                      <a:fillRect/>
                    </a:stretch>
                  </pic:blipFill>
                  <pic:spPr>
                    <a:xfrm>
                      <a:off x="0" y="0"/>
                      <a:ext cx="8854440" cy="5213350"/>
                    </a:xfrm>
                    <a:prstGeom prst="rect">
                      <a:avLst/>
                    </a:prstGeom>
                    <a:noFill/>
                    <a:ln>
                      <a:noFill/>
                    </a:ln>
                  </pic:spPr>
                </pic:pic>
              </a:graphicData>
            </a:graphic>
          </wp:inline>
        </w:drawing>
      </w:r>
    </w:p>
    <w:p>
      <w:pPr>
        <w:jc w:val="center"/>
        <w:rPr>
          <w:rFonts w:hint="eastAsia" w:ascii="仿宋_GB2312" w:hAnsi="仿宋_GB2312" w:eastAsia="仿宋_GB2312" w:cs="仿宋_GB2312"/>
          <w:color w:val="auto"/>
          <w:sz w:val="32"/>
          <w:szCs w:val="32"/>
          <w:highlight w:val="none"/>
          <w:lang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eastAsia="zh-CN"/>
        </w:rPr>
        <w:drawing>
          <wp:inline distT="0" distB="0" distL="114300" distR="114300">
            <wp:extent cx="8745855" cy="1814195"/>
            <wp:effectExtent l="0" t="0" r="17145" b="14605"/>
            <wp:docPr id="11"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7"/>
                    <pic:cNvPicPr>
                      <a:picLocks noChangeAspect="1"/>
                    </pic:cNvPicPr>
                  </pic:nvPicPr>
                  <pic:blipFill>
                    <a:blip r:embed="rId12"/>
                    <a:stretch>
                      <a:fillRect/>
                    </a:stretch>
                  </pic:blipFill>
                  <pic:spPr>
                    <a:xfrm>
                      <a:off x="0" y="0"/>
                      <a:ext cx="8745855" cy="181419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drawing>
          <wp:inline distT="0" distB="0" distL="114300" distR="114300">
            <wp:extent cx="8858885" cy="2855595"/>
            <wp:effectExtent l="0" t="0" r="18415" b="1905"/>
            <wp:docPr id="4"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8"/>
                    <pic:cNvPicPr>
                      <a:picLocks noChangeAspect="1"/>
                    </pic:cNvPicPr>
                  </pic:nvPicPr>
                  <pic:blipFill>
                    <a:blip r:embed="rId13"/>
                    <a:stretch>
                      <a:fillRect/>
                    </a:stretch>
                  </pic:blipFill>
                  <pic:spPr>
                    <a:xfrm>
                      <a:off x="0" y="0"/>
                      <a:ext cx="8858885" cy="2855595"/>
                    </a:xfrm>
                    <a:prstGeom prst="rect">
                      <a:avLst/>
                    </a:prstGeom>
                    <a:noFill/>
                    <a:ln>
                      <a:noFill/>
                    </a:ln>
                  </pic:spPr>
                </pic:pic>
              </a:graphicData>
            </a:graphic>
          </wp:inline>
        </w:drawing>
      </w: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lang w:val="en-US" w:eastAsia="zh-CN"/>
        </w:rPr>
      </w:pPr>
      <w:r>
        <w:rPr>
          <w:rFonts w:hint="eastAsia" w:ascii="黑体" w:hAnsi="黑体" w:eastAsia="黑体" w:cs="黑体"/>
          <w:color w:val="auto"/>
          <w:sz w:val="48"/>
          <w:szCs w:val="48"/>
          <w:highlight w:val="none"/>
          <w:lang w:val="en-US" w:eastAsia="zh-CN"/>
        </w:rPr>
        <w:t>第三部分  2020年度部门决算情况说明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zh-CN" w:eastAsia="zh-CN"/>
        </w:rPr>
        <w:t>2020年度收、支总计均为1,528.08万元。单位为</w:t>
      </w:r>
      <w:r>
        <w:rPr>
          <w:rFonts w:hint="eastAsia" w:ascii="仿宋" w:hAnsi="仿宋" w:eastAsia="仿宋" w:cs="仿宋"/>
          <w:i w:val="0"/>
          <w:iCs w:val="0"/>
          <w:caps w:val="0"/>
          <w:color w:val="000000"/>
          <w:spacing w:val="0"/>
          <w:sz w:val="31"/>
          <w:szCs w:val="31"/>
          <w:lang w:val="en-US" w:eastAsia="zh-CN"/>
        </w:rPr>
        <w:t>2019年机构改革</w:t>
      </w:r>
      <w:r>
        <w:rPr>
          <w:rFonts w:hint="eastAsia" w:ascii="仿宋" w:hAnsi="仿宋" w:eastAsia="仿宋" w:cs="仿宋"/>
          <w:i w:val="0"/>
          <w:iCs w:val="0"/>
          <w:caps w:val="0"/>
          <w:color w:val="000000"/>
          <w:spacing w:val="0"/>
          <w:sz w:val="31"/>
          <w:szCs w:val="31"/>
          <w:lang w:val="zh-CN" w:eastAsia="zh-CN"/>
        </w:rPr>
        <w:t>新增单位，无上年数据（下同）。</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2020年度收入合计1,410.17万元，其中：财政拨款收入1,410.1</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lang w:val="zh-CN" w:eastAsia="zh-CN"/>
        </w:rPr>
        <w:t>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2020年度支出合计1,398.69万元，其中：基本支出1,386.88万元，占99.16%；项目支出11.81万元，占0.84%。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2020年度财政拨款收、支总计均为1,524.64万元。单位为新增单位，无上年数据。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2020年度一般公共预算财政拨款支出1,398.64万元，占支出合计的99.99%。单位为新增单位，无上年数据。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2020年度一般公共预算财政拨款支出1,398.64万元，主要用于以下方面：</w:t>
      </w:r>
      <w:r>
        <w:rPr>
          <w:rFonts w:hint="eastAsia" w:ascii="仿宋" w:hAnsi="仿宋" w:eastAsia="仿宋" w:cs="仿宋"/>
          <w:b/>
          <w:bCs/>
          <w:i w:val="0"/>
          <w:iCs w:val="0"/>
          <w:caps w:val="0"/>
          <w:color w:val="000000"/>
          <w:spacing w:val="0"/>
          <w:sz w:val="31"/>
          <w:szCs w:val="31"/>
          <w:lang w:val="zh-CN" w:eastAsia="zh-CN"/>
        </w:rPr>
        <w:t>社会保障和就业支出（类）</w:t>
      </w:r>
      <w:r>
        <w:rPr>
          <w:rFonts w:hint="eastAsia" w:ascii="仿宋" w:hAnsi="仿宋" w:eastAsia="仿宋" w:cs="仿宋"/>
          <w:i w:val="0"/>
          <w:iCs w:val="0"/>
          <w:caps w:val="0"/>
          <w:color w:val="000000"/>
          <w:spacing w:val="0"/>
          <w:sz w:val="31"/>
          <w:szCs w:val="31"/>
          <w:lang w:val="zh-CN" w:eastAsia="zh-CN"/>
        </w:rPr>
        <w:t>支出</w:t>
      </w:r>
      <w:r>
        <w:rPr>
          <w:rFonts w:hint="eastAsia" w:ascii="仿宋" w:hAnsi="仿宋" w:eastAsia="仿宋" w:cs="仿宋"/>
          <w:i w:val="0"/>
          <w:iCs w:val="0"/>
          <w:caps w:val="0"/>
          <w:color w:val="000000"/>
          <w:spacing w:val="0"/>
          <w:sz w:val="31"/>
          <w:szCs w:val="31"/>
          <w:lang w:val="en-US" w:eastAsia="zh-CN"/>
        </w:rPr>
        <w:t>766.51</w:t>
      </w:r>
      <w:r>
        <w:rPr>
          <w:rFonts w:hint="eastAsia" w:ascii="仿宋" w:hAnsi="仿宋" w:eastAsia="仿宋" w:cs="仿宋"/>
          <w:i w:val="0"/>
          <w:iCs w:val="0"/>
          <w:caps w:val="0"/>
          <w:color w:val="000000"/>
          <w:spacing w:val="0"/>
          <w:sz w:val="31"/>
          <w:szCs w:val="31"/>
          <w:lang w:val="zh-CN" w:eastAsia="zh-CN"/>
        </w:rPr>
        <w:t>万元，占</w:t>
      </w:r>
      <w:r>
        <w:rPr>
          <w:rFonts w:hint="eastAsia" w:ascii="仿宋" w:hAnsi="仿宋" w:eastAsia="仿宋" w:cs="仿宋"/>
          <w:i w:val="0"/>
          <w:iCs w:val="0"/>
          <w:caps w:val="0"/>
          <w:color w:val="000000"/>
          <w:spacing w:val="0"/>
          <w:sz w:val="31"/>
          <w:szCs w:val="31"/>
          <w:lang w:val="en-US" w:eastAsia="zh-CN"/>
        </w:rPr>
        <w:t>54.80</w:t>
      </w:r>
      <w:r>
        <w:rPr>
          <w:rFonts w:hint="eastAsia" w:ascii="仿宋" w:hAnsi="仿宋" w:eastAsia="仿宋" w:cs="仿宋"/>
          <w:i w:val="0"/>
          <w:iCs w:val="0"/>
          <w:caps w:val="0"/>
          <w:color w:val="000000"/>
          <w:spacing w:val="0"/>
          <w:sz w:val="31"/>
          <w:szCs w:val="31"/>
          <w:lang w:val="zh-CN" w:eastAsia="zh-CN"/>
        </w:rPr>
        <w:t>%；</w:t>
      </w:r>
      <w:r>
        <w:rPr>
          <w:rFonts w:hint="eastAsia" w:ascii="仿宋" w:hAnsi="仿宋" w:eastAsia="仿宋" w:cs="仿宋"/>
          <w:b/>
          <w:bCs/>
          <w:i w:val="0"/>
          <w:iCs w:val="0"/>
          <w:caps w:val="0"/>
          <w:color w:val="000000"/>
          <w:spacing w:val="0"/>
          <w:sz w:val="31"/>
          <w:szCs w:val="31"/>
          <w:lang w:val="zh-CN" w:eastAsia="zh-CN"/>
        </w:rPr>
        <w:t>卫生健康支出（类）</w:t>
      </w:r>
      <w:r>
        <w:rPr>
          <w:rFonts w:hint="eastAsia" w:ascii="仿宋" w:hAnsi="仿宋" w:eastAsia="仿宋" w:cs="仿宋"/>
          <w:i w:val="0"/>
          <w:iCs w:val="0"/>
          <w:caps w:val="0"/>
          <w:color w:val="000000"/>
          <w:spacing w:val="0"/>
          <w:sz w:val="31"/>
          <w:szCs w:val="31"/>
          <w:lang w:val="zh-CN" w:eastAsia="zh-CN"/>
        </w:rPr>
        <w:t>支出</w:t>
      </w:r>
      <w:r>
        <w:rPr>
          <w:rFonts w:hint="eastAsia" w:ascii="仿宋" w:hAnsi="仿宋" w:eastAsia="仿宋" w:cs="仿宋"/>
          <w:i w:val="0"/>
          <w:iCs w:val="0"/>
          <w:caps w:val="0"/>
          <w:color w:val="000000"/>
          <w:spacing w:val="0"/>
          <w:sz w:val="31"/>
          <w:szCs w:val="31"/>
          <w:lang w:val="en-US" w:eastAsia="zh-CN"/>
        </w:rPr>
        <w:t>573.23</w:t>
      </w:r>
      <w:r>
        <w:rPr>
          <w:rFonts w:hint="eastAsia" w:ascii="仿宋" w:hAnsi="仿宋" w:eastAsia="仿宋" w:cs="仿宋"/>
          <w:i w:val="0"/>
          <w:iCs w:val="0"/>
          <w:caps w:val="0"/>
          <w:color w:val="000000"/>
          <w:spacing w:val="0"/>
          <w:sz w:val="31"/>
          <w:szCs w:val="31"/>
          <w:lang w:val="zh-CN" w:eastAsia="zh-CN"/>
        </w:rPr>
        <w:t>万元，占</w:t>
      </w:r>
      <w:r>
        <w:rPr>
          <w:rFonts w:hint="eastAsia" w:ascii="仿宋" w:hAnsi="仿宋" w:eastAsia="仿宋" w:cs="仿宋"/>
          <w:i w:val="0"/>
          <w:iCs w:val="0"/>
          <w:caps w:val="0"/>
          <w:color w:val="000000"/>
          <w:spacing w:val="0"/>
          <w:sz w:val="31"/>
          <w:szCs w:val="31"/>
          <w:lang w:val="en-US" w:eastAsia="zh-CN"/>
        </w:rPr>
        <w:t>40.98</w:t>
      </w:r>
      <w:r>
        <w:rPr>
          <w:rFonts w:hint="eastAsia" w:ascii="仿宋" w:hAnsi="仿宋" w:eastAsia="仿宋" w:cs="仿宋"/>
          <w:i w:val="0"/>
          <w:iCs w:val="0"/>
          <w:caps w:val="0"/>
          <w:color w:val="000000"/>
          <w:spacing w:val="0"/>
          <w:sz w:val="31"/>
          <w:szCs w:val="31"/>
          <w:lang w:val="zh-CN" w:eastAsia="zh-CN"/>
        </w:rPr>
        <w:t>%；</w:t>
      </w:r>
      <w:r>
        <w:rPr>
          <w:rFonts w:hint="eastAsia" w:ascii="仿宋" w:hAnsi="仿宋" w:eastAsia="仿宋" w:cs="仿宋"/>
          <w:b/>
          <w:bCs/>
          <w:i w:val="0"/>
          <w:iCs w:val="0"/>
          <w:caps w:val="0"/>
          <w:color w:val="000000"/>
          <w:spacing w:val="0"/>
          <w:sz w:val="31"/>
          <w:szCs w:val="31"/>
          <w:lang w:val="zh-CN" w:eastAsia="zh-CN"/>
        </w:rPr>
        <w:t>农林水支出（类）</w:t>
      </w:r>
      <w:r>
        <w:rPr>
          <w:rFonts w:hint="eastAsia" w:ascii="仿宋" w:hAnsi="仿宋" w:eastAsia="仿宋" w:cs="仿宋"/>
          <w:i w:val="0"/>
          <w:iCs w:val="0"/>
          <w:caps w:val="0"/>
          <w:color w:val="000000"/>
          <w:spacing w:val="0"/>
          <w:sz w:val="31"/>
          <w:szCs w:val="31"/>
          <w:lang w:val="zh-CN" w:eastAsia="zh-CN"/>
        </w:rPr>
        <w:t>支出</w:t>
      </w:r>
      <w:r>
        <w:rPr>
          <w:rFonts w:hint="eastAsia" w:ascii="仿宋" w:hAnsi="仿宋" w:eastAsia="仿宋" w:cs="仿宋"/>
          <w:i w:val="0"/>
          <w:iCs w:val="0"/>
          <w:caps w:val="0"/>
          <w:color w:val="000000"/>
          <w:spacing w:val="0"/>
          <w:sz w:val="31"/>
          <w:szCs w:val="31"/>
          <w:lang w:val="en-US" w:eastAsia="zh-CN"/>
        </w:rPr>
        <w:t>6.84</w:t>
      </w:r>
      <w:r>
        <w:rPr>
          <w:rFonts w:hint="eastAsia" w:ascii="仿宋" w:hAnsi="仿宋" w:eastAsia="仿宋" w:cs="仿宋"/>
          <w:i w:val="0"/>
          <w:iCs w:val="0"/>
          <w:caps w:val="0"/>
          <w:color w:val="000000"/>
          <w:spacing w:val="0"/>
          <w:sz w:val="31"/>
          <w:szCs w:val="31"/>
          <w:lang w:val="zh-CN" w:eastAsia="zh-CN"/>
        </w:rPr>
        <w:t>万元，占</w:t>
      </w:r>
      <w:r>
        <w:rPr>
          <w:rFonts w:hint="eastAsia" w:ascii="仿宋" w:hAnsi="仿宋" w:eastAsia="仿宋" w:cs="仿宋"/>
          <w:i w:val="0"/>
          <w:iCs w:val="0"/>
          <w:caps w:val="0"/>
          <w:color w:val="000000"/>
          <w:spacing w:val="0"/>
          <w:sz w:val="31"/>
          <w:szCs w:val="31"/>
          <w:lang w:val="en-US" w:eastAsia="zh-CN"/>
        </w:rPr>
        <w:t>0.48</w:t>
      </w:r>
      <w:r>
        <w:rPr>
          <w:rFonts w:hint="eastAsia" w:ascii="仿宋" w:hAnsi="仿宋" w:eastAsia="仿宋" w:cs="仿宋"/>
          <w:i w:val="0"/>
          <w:iCs w:val="0"/>
          <w:caps w:val="0"/>
          <w:color w:val="000000"/>
          <w:spacing w:val="0"/>
          <w:sz w:val="31"/>
          <w:szCs w:val="31"/>
          <w:lang w:val="zh-CN" w:eastAsia="zh-CN"/>
        </w:rPr>
        <w:t>%；</w:t>
      </w:r>
      <w:r>
        <w:rPr>
          <w:rFonts w:hint="eastAsia" w:ascii="仿宋" w:hAnsi="仿宋" w:eastAsia="仿宋" w:cs="仿宋"/>
          <w:b/>
          <w:bCs/>
          <w:i w:val="0"/>
          <w:iCs w:val="0"/>
          <w:caps w:val="0"/>
          <w:color w:val="000000"/>
          <w:spacing w:val="0"/>
          <w:sz w:val="31"/>
          <w:szCs w:val="31"/>
          <w:lang w:val="zh-CN" w:eastAsia="zh-CN"/>
        </w:rPr>
        <w:t>住房保障支出（类）</w:t>
      </w:r>
      <w:r>
        <w:rPr>
          <w:rFonts w:hint="eastAsia" w:ascii="仿宋" w:hAnsi="仿宋" w:eastAsia="仿宋" w:cs="仿宋"/>
          <w:i w:val="0"/>
          <w:iCs w:val="0"/>
          <w:caps w:val="0"/>
          <w:color w:val="000000"/>
          <w:spacing w:val="0"/>
          <w:sz w:val="31"/>
          <w:szCs w:val="31"/>
          <w:lang w:val="zh-CN" w:eastAsia="zh-CN"/>
        </w:rPr>
        <w:t>支出</w:t>
      </w:r>
      <w:r>
        <w:rPr>
          <w:rFonts w:hint="eastAsia" w:ascii="仿宋" w:hAnsi="仿宋" w:eastAsia="仿宋" w:cs="仿宋"/>
          <w:i w:val="0"/>
          <w:iCs w:val="0"/>
          <w:caps w:val="0"/>
          <w:color w:val="000000"/>
          <w:spacing w:val="0"/>
          <w:sz w:val="31"/>
          <w:szCs w:val="31"/>
          <w:lang w:val="en-US" w:eastAsia="zh-CN"/>
        </w:rPr>
        <w:t>52.04</w:t>
      </w:r>
      <w:r>
        <w:rPr>
          <w:rFonts w:hint="eastAsia" w:ascii="仿宋" w:hAnsi="仿宋" w:eastAsia="仿宋" w:cs="仿宋"/>
          <w:i w:val="0"/>
          <w:iCs w:val="0"/>
          <w:caps w:val="0"/>
          <w:color w:val="000000"/>
          <w:spacing w:val="0"/>
          <w:sz w:val="31"/>
          <w:szCs w:val="31"/>
          <w:lang w:val="zh-CN" w:eastAsia="zh-CN"/>
        </w:rPr>
        <w:t>万元，占</w:t>
      </w:r>
      <w:r>
        <w:rPr>
          <w:rFonts w:hint="eastAsia" w:ascii="仿宋" w:hAnsi="仿宋" w:eastAsia="仿宋" w:cs="仿宋"/>
          <w:i w:val="0"/>
          <w:iCs w:val="0"/>
          <w:caps w:val="0"/>
          <w:color w:val="000000"/>
          <w:spacing w:val="0"/>
          <w:sz w:val="31"/>
          <w:szCs w:val="31"/>
          <w:lang w:val="en-US" w:eastAsia="zh-CN"/>
        </w:rPr>
        <w:t>3.72</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2020年度一般公共预算财政拨款支出年初预算为</w:t>
      </w:r>
      <w:r>
        <w:rPr>
          <w:rFonts w:ascii="仿宋" w:hAnsi="仿宋" w:eastAsia="仿宋" w:cs="仿宋"/>
          <w:i w:val="0"/>
          <w:iCs w:val="0"/>
          <w:caps w:val="0"/>
          <w:color w:val="000000"/>
          <w:spacing w:val="0"/>
          <w:sz w:val="31"/>
          <w:szCs w:val="31"/>
          <w:highlight w:val="none"/>
          <w:shd w:val="clear" w:color="auto" w:fill="FFFFFF"/>
        </w:rPr>
        <w:t>1459.47</w:t>
      </w:r>
      <w:r>
        <w:rPr>
          <w:rFonts w:hint="eastAsia" w:ascii="仿宋" w:hAnsi="仿宋" w:eastAsia="仿宋" w:cs="仿宋"/>
          <w:i w:val="0"/>
          <w:iCs w:val="0"/>
          <w:caps w:val="0"/>
          <w:color w:val="000000"/>
          <w:spacing w:val="0"/>
          <w:sz w:val="31"/>
          <w:szCs w:val="31"/>
          <w:lang w:val="zh-CN" w:eastAsia="zh-CN"/>
        </w:rPr>
        <w:t>万元，支出决算为1,398.64万元，完成年初预算的</w:t>
      </w:r>
      <w:r>
        <w:rPr>
          <w:rFonts w:hint="eastAsia" w:ascii="仿宋" w:hAnsi="仿宋" w:eastAsia="仿宋" w:cs="仿宋"/>
          <w:i w:val="0"/>
          <w:iCs w:val="0"/>
          <w:caps w:val="0"/>
          <w:color w:val="000000"/>
          <w:spacing w:val="0"/>
          <w:sz w:val="31"/>
          <w:szCs w:val="31"/>
          <w:lang w:val="en-US" w:eastAsia="zh-CN"/>
        </w:rPr>
        <w:t>95.83</w:t>
      </w:r>
      <w:r>
        <w:rPr>
          <w:rFonts w:hint="eastAsia" w:ascii="仿宋" w:hAnsi="仿宋" w:eastAsia="仿宋" w:cs="仿宋"/>
          <w:i w:val="0"/>
          <w:iCs w:val="0"/>
          <w:caps w:val="0"/>
          <w:color w:val="000000"/>
          <w:spacing w:val="0"/>
          <w:sz w:val="31"/>
          <w:szCs w:val="31"/>
          <w:lang w:val="zh-CN" w:eastAsia="zh-CN"/>
        </w:rPr>
        <w:t>%。其中：</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10" w:leftChars="0" w:right="0" w:rightChars="0" w:firstLine="640" w:firstLineChars="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b/>
          <w:bCs/>
          <w:i w:val="0"/>
          <w:iCs w:val="0"/>
          <w:caps w:val="0"/>
          <w:color w:val="000000"/>
          <w:spacing w:val="0"/>
          <w:sz w:val="31"/>
          <w:szCs w:val="31"/>
          <w:lang w:val="zh-CN" w:eastAsia="zh-CN"/>
        </w:rPr>
        <w:t>社会保障和就业支出（类）人力资源和社会保障管理事务（款）社会保险经办机构（项）。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673.5</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673.50</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10" w:leftChars="0" w:right="0" w:rightChars="0" w:firstLine="640" w:firstLineChars="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b/>
          <w:bCs/>
          <w:i w:val="0"/>
          <w:iCs w:val="0"/>
          <w:caps w:val="0"/>
          <w:color w:val="000000"/>
          <w:spacing w:val="0"/>
          <w:sz w:val="31"/>
          <w:szCs w:val="31"/>
          <w:lang w:val="zh-CN" w:eastAsia="zh-CN"/>
        </w:rPr>
        <w:t>社会保障和就业支出（类）人力资源和社会保障管理事务（款）其他人力资源和社会保障管理事务支出（项）。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2.67</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2.67</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10" w:leftChars="0" w:right="0" w:rightChars="0" w:firstLine="640" w:firstLineChars="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b/>
          <w:bCs/>
          <w:i w:val="0"/>
          <w:iCs w:val="0"/>
          <w:caps w:val="0"/>
          <w:color w:val="000000"/>
          <w:spacing w:val="0"/>
          <w:sz w:val="31"/>
          <w:szCs w:val="31"/>
          <w:lang w:val="zh-CN" w:eastAsia="zh-CN"/>
        </w:rPr>
        <w:t>社会保障和就业支出（类）行政事业单位养老支出（款）行政单位离退休（项）。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0.86</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0.86</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default"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b/>
          <w:bCs/>
          <w:i w:val="0"/>
          <w:iCs w:val="0"/>
          <w:caps w:val="0"/>
          <w:color w:val="000000"/>
          <w:spacing w:val="0"/>
          <w:sz w:val="31"/>
          <w:szCs w:val="31"/>
          <w:lang w:val="en-US" w:eastAsia="zh-CN"/>
        </w:rPr>
        <w:t>.</w:t>
      </w:r>
      <w:r>
        <w:rPr>
          <w:rFonts w:hint="eastAsia" w:ascii="仿宋" w:hAnsi="仿宋" w:eastAsia="仿宋" w:cs="仿宋"/>
          <w:b/>
          <w:bCs/>
          <w:i w:val="0"/>
          <w:iCs w:val="0"/>
          <w:caps w:val="0"/>
          <w:color w:val="000000"/>
          <w:spacing w:val="0"/>
          <w:sz w:val="31"/>
          <w:szCs w:val="31"/>
          <w:lang w:val="zh-CN" w:eastAsia="zh-CN"/>
        </w:rPr>
        <w:t>社会保障和就业支出（类）行政事业单位养老支出（款）事业单位离退休（项）。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9.02</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9.02</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b/>
          <w:bCs/>
          <w:i w:val="0"/>
          <w:iCs w:val="0"/>
          <w:caps w:val="0"/>
          <w:color w:val="000000"/>
          <w:spacing w:val="0"/>
          <w:sz w:val="31"/>
          <w:szCs w:val="31"/>
          <w:lang w:val="zh-CN" w:eastAsia="zh-CN"/>
        </w:rPr>
        <w:t>社会保障和就业支出（类）行政事业单位养老支出（款）机关事业单位基本养老保险缴费支出（项）。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76.66</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74.93</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97.74</w:t>
      </w:r>
      <w:r>
        <w:rPr>
          <w:rFonts w:hint="eastAsia" w:ascii="仿宋" w:hAnsi="仿宋" w:eastAsia="仿宋" w:cs="仿宋"/>
          <w:i w:val="0"/>
          <w:iCs w:val="0"/>
          <w:caps w:val="0"/>
          <w:color w:val="000000"/>
          <w:spacing w:val="0"/>
          <w:sz w:val="31"/>
          <w:szCs w:val="31"/>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决算数与年初预算数存在差异的主要原因是预算科目调整。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b/>
          <w:bCs/>
          <w:i w:val="0"/>
          <w:iCs w:val="0"/>
          <w:caps w:val="0"/>
          <w:color w:val="000000"/>
          <w:spacing w:val="0"/>
          <w:sz w:val="31"/>
          <w:szCs w:val="31"/>
          <w:lang w:val="zh-CN" w:eastAsia="zh-CN"/>
        </w:rPr>
        <w:t>社会保障和就业支出（类）退役军人管理事务（款）行政运行（项）。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5.51</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5.51</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7.</w:t>
      </w:r>
      <w:r>
        <w:rPr>
          <w:rFonts w:hint="eastAsia" w:ascii="仿宋" w:hAnsi="仿宋" w:eastAsia="仿宋" w:cs="仿宋"/>
          <w:b/>
          <w:bCs/>
          <w:i w:val="0"/>
          <w:iCs w:val="0"/>
          <w:caps w:val="0"/>
          <w:color w:val="000000"/>
          <w:spacing w:val="0"/>
          <w:sz w:val="31"/>
          <w:szCs w:val="31"/>
          <w:lang w:val="zh-CN" w:eastAsia="zh-CN"/>
        </w:rPr>
        <w:t>卫生健康支出（类）行政事业单位医疗（款）行政单位医疗（项）。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19.51</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19.51</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b/>
          <w:bCs/>
          <w:i w:val="0"/>
          <w:iCs w:val="0"/>
          <w:caps w:val="0"/>
          <w:color w:val="000000"/>
          <w:spacing w:val="0"/>
          <w:sz w:val="31"/>
          <w:szCs w:val="31"/>
          <w:lang w:val="zh-CN" w:eastAsia="zh-CN"/>
        </w:rPr>
        <w:t>卫生健康支出（类）行政事业单位医疗（款）事业单位医疗（项）。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38.71</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37.55</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97</w:t>
      </w:r>
      <w:r>
        <w:rPr>
          <w:rFonts w:hint="eastAsia" w:ascii="仿宋" w:hAnsi="仿宋" w:eastAsia="仿宋" w:cs="仿宋"/>
          <w:i w:val="0"/>
          <w:iCs w:val="0"/>
          <w:caps w:val="0"/>
          <w:color w:val="000000"/>
          <w:spacing w:val="0"/>
          <w:sz w:val="31"/>
          <w:szCs w:val="31"/>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决算数与年初预算数存在差异的主要原因是预算科目调整。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highlight w:val="none"/>
          <w:lang w:val="en-US" w:eastAsia="zh-CN"/>
        </w:rPr>
      </w:pPr>
      <w:r>
        <w:rPr>
          <w:rFonts w:hint="eastAsia" w:ascii="仿宋" w:hAnsi="仿宋" w:eastAsia="仿宋" w:cs="仿宋"/>
          <w:i w:val="0"/>
          <w:iCs w:val="0"/>
          <w:caps w:val="0"/>
          <w:color w:val="000000"/>
          <w:spacing w:val="0"/>
          <w:sz w:val="31"/>
          <w:szCs w:val="31"/>
          <w:highlight w:val="none"/>
          <w:lang w:val="en-US" w:eastAsia="zh-CN"/>
        </w:rPr>
        <w:t>9.</w:t>
      </w:r>
      <w:r>
        <w:rPr>
          <w:rFonts w:hint="eastAsia" w:ascii="仿宋" w:hAnsi="仿宋" w:eastAsia="仿宋" w:cs="仿宋"/>
          <w:b/>
          <w:bCs/>
          <w:i w:val="0"/>
          <w:iCs w:val="0"/>
          <w:caps w:val="0"/>
          <w:color w:val="000000"/>
          <w:spacing w:val="0"/>
          <w:sz w:val="31"/>
          <w:szCs w:val="31"/>
          <w:highlight w:val="none"/>
          <w:lang w:val="zh-CN" w:eastAsia="zh-CN"/>
        </w:rPr>
        <w:t>卫生健康支出（类）医疗保障管理事务（款）行政运行（项）。</w:t>
      </w:r>
      <w:r>
        <w:rPr>
          <w:rFonts w:hint="eastAsia" w:ascii="仿宋" w:hAnsi="仿宋" w:eastAsia="仿宋" w:cs="仿宋"/>
          <w:i w:val="0"/>
          <w:iCs w:val="0"/>
          <w:caps w:val="0"/>
          <w:color w:val="000000"/>
          <w:spacing w:val="0"/>
          <w:sz w:val="31"/>
          <w:szCs w:val="31"/>
          <w:highlight w:val="none"/>
          <w:lang w:val="zh-CN" w:eastAsia="zh-CN"/>
        </w:rPr>
        <w:t>年初预算为</w:t>
      </w:r>
      <w:r>
        <w:rPr>
          <w:rFonts w:hint="eastAsia" w:ascii="仿宋" w:hAnsi="仿宋" w:eastAsia="仿宋" w:cs="仿宋"/>
          <w:i w:val="0"/>
          <w:iCs w:val="0"/>
          <w:caps w:val="0"/>
          <w:color w:val="000000"/>
          <w:spacing w:val="0"/>
          <w:sz w:val="31"/>
          <w:szCs w:val="31"/>
          <w:highlight w:val="none"/>
          <w:lang w:val="en-US" w:eastAsia="zh-CN"/>
        </w:rPr>
        <w:t>20</w:t>
      </w:r>
      <w:r>
        <w:rPr>
          <w:rFonts w:hint="eastAsia" w:ascii="仿宋" w:hAnsi="仿宋" w:eastAsia="仿宋" w:cs="仿宋"/>
          <w:i w:val="0"/>
          <w:iCs w:val="0"/>
          <w:caps w:val="0"/>
          <w:color w:val="000000"/>
          <w:spacing w:val="0"/>
          <w:sz w:val="31"/>
          <w:szCs w:val="31"/>
          <w:highlight w:val="none"/>
          <w:lang w:val="zh-CN" w:eastAsia="zh-CN"/>
        </w:rPr>
        <w:t>万元，支出决算为</w:t>
      </w:r>
      <w:r>
        <w:rPr>
          <w:rFonts w:hint="eastAsia" w:ascii="仿宋" w:hAnsi="仿宋" w:eastAsia="仿宋" w:cs="仿宋"/>
          <w:i w:val="0"/>
          <w:iCs w:val="0"/>
          <w:caps w:val="0"/>
          <w:color w:val="000000"/>
          <w:spacing w:val="0"/>
          <w:sz w:val="31"/>
          <w:szCs w:val="31"/>
          <w:highlight w:val="none"/>
          <w:lang w:val="en-US" w:eastAsia="zh-CN"/>
        </w:rPr>
        <w:t>126.48</w:t>
      </w:r>
      <w:r>
        <w:rPr>
          <w:rFonts w:hint="eastAsia" w:ascii="仿宋" w:hAnsi="仿宋" w:eastAsia="仿宋" w:cs="仿宋"/>
          <w:i w:val="0"/>
          <w:iCs w:val="0"/>
          <w:caps w:val="0"/>
          <w:color w:val="000000"/>
          <w:spacing w:val="0"/>
          <w:sz w:val="31"/>
          <w:szCs w:val="31"/>
          <w:highlight w:val="none"/>
          <w:lang w:val="zh-CN" w:eastAsia="zh-CN"/>
        </w:rPr>
        <w:t>万元，完成年初预算的</w:t>
      </w:r>
      <w:r>
        <w:rPr>
          <w:rFonts w:hint="eastAsia" w:ascii="仿宋" w:hAnsi="仿宋" w:eastAsia="仿宋" w:cs="仿宋"/>
          <w:i w:val="0"/>
          <w:iCs w:val="0"/>
          <w:caps w:val="0"/>
          <w:color w:val="000000"/>
          <w:spacing w:val="0"/>
          <w:sz w:val="31"/>
          <w:szCs w:val="31"/>
          <w:highlight w:val="none"/>
          <w:lang w:val="en-US" w:eastAsia="zh-CN"/>
        </w:rPr>
        <w:t>632.40</w:t>
      </w:r>
      <w:r>
        <w:rPr>
          <w:rFonts w:hint="eastAsia" w:ascii="仿宋" w:hAnsi="仿宋" w:eastAsia="仿宋" w:cs="仿宋"/>
          <w:i w:val="0"/>
          <w:iCs w:val="0"/>
          <w:caps w:val="0"/>
          <w:color w:val="000000"/>
          <w:spacing w:val="0"/>
          <w:sz w:val="31"/>
          <w:szCs w:val="31"/>
          <w:highlight w:val="none"/>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决算数与年初预算数存在差异的主要原因是本年新增上级转移支付支出。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i w:val="0"/>
          <w:iCs w:val="0"/>
          <w:caps w:val="0"/>
          <w:color w:val="000000"/>
          <w:spacing w:val="0"/>
          <w:sz w:val="31"/>
          <w:szCs w:val="31"/>
          <w:highlight w:val="none"/>
          <w:lang w:val="en-US" w:eastAsia="zh-CN"/>
        </w:rPr>
        <w:t>10.</w:t>
      </w:r>
      <w:r>
        <w:rPr>
          <w:rFonts w:hint="eastAsia" w:ascii="仿宋" w:hAnsi="仿宋" w:eastAsia="仿宋" w:cs="仿宋"/>
          <w:b/>
          <w:bCs/>
          <w:i w:val="0"/>
          <w:iCs w:val="0"/>
          <w:caps w:val="0"/>
          <w:color w:val="000000"/>
          <w:spacing w:val="0"/>
          <w:sz w:val="31"/>
          <w:szCs w:val="31"/>
          <w:highlight w:val="none"/>
          <w:lang w:val="zh-CN" w:eastAsia="zh-CN"/>
        </w:rPr>
        <w:t>卫生健康支出（类）医疗保障管理事务（款）一般行政管理事务（项）。</w:t>
      </w:r>
      <w:r>
        <w:rPr>
          <w:rFonts w:hint="eastAsia" w:ascii="仿宋" w:hAnsi="仿宋" w:eastAsia="仿宋" w:cs="仿宋"/>
          <w:i w:val="0"/>
          <w:iCs w:val="0"/>
          <w:caps w:val="0"/>
          <w:color w:val="000000"/>
          <w:spacing w:val="0"/>
          <w:sz w:val="31"/>
          <w:szCs w:val="31"/>
          <w:highlight w:val="none"/>
          <w:lang w:val="zh-CN" w:eastAsia="zh-CN"/>
        </w:rPr>
        <w:t>年初预算为</w:t>
      </w:r>
      <w:r>
        <w:rPr>
          <w:rFonts w:hint="eastAsia" w:ascii="仿宋" w:hAnsi="仿宋" w:eastAsia="仿宋" w:cs="仿宋"/>
          <w:i w:val="0"/>
          <w:iCs w:val="0"/>
          <w:caps w:val="0"/>
          <w:color w:val="000000"/>
          <w:spacing w:val="0"/>
          <w:sz w:val="31"/>
          <w:szCs w:val="31"/>
          <w:highlight w:val="none"/>
          <w:lang w:val="en-US" w:eastAsia="zh-CN"/>
        </w:rPr>
        <w:t>510.36</w:t>
      </w:r>
      <w:r>
        <w:rPr>
          <w:rFonts w:hint="eastAsia" w:ascii="仿宋" w:hAnsi="仿宋" w:eastAsia="仿宋" w:cs="仿宋"/>
          <w:i w:val="0"/>
          <w:iCs w:val="0"/>
          <w:caps w:val="0"/>
          <w:color w:val="000000"/>
          <w:spacing w:val="0"/>
          <w:sz w:val="31"/>
          <w:szCs w:val="31"/>
          <w:highlight w:val="none"/>
          <w:lang w:val="zh-CN" w:eastAsia="zh-CN"/>
        </w:rPr>
        <w:t>万元，支出决算为</w:t>
      </w:r>
      <w:r>
        <w:rPr>
          <w:rFonts w:hint="eastAsia" w:ascii="仿宋" w:hAnsi="仿宋" w:eastAsia="仿宋" w:cs="仿宋"/>
          <w:i w:val="0"/>
          <w:iCs w:val="0"/>
          <w:caps w:val="0"/>
          <w:color w:val="000000"/>
          <w:spacing w:val="0"/>
          <w:sz w:val="31"/>
          <w:szCs w:val="31"/>
          <w:highlight w:val="none"/>
          <w:lang w:val="en-US" w:eastAsia="zh-CN"/>
        </w:rPr>
        <w:t>318.50</w:t>
      </w:r>
      <w:r>
        <w:rPr>
          <w:rFonts w:hint="eastAsia" w:ascii="仿宋" w:hAnsi="仿宋" w:eastAsia="仿宋" w:cs="仿宋"/>
          <w:i w:val="0"/>
          <w:iCs w:val="0"/>
          <w:caps w:val="0"/>
          <w:color w:val="000000"/>
          <w:spacing w:val="0"/>
          <w:sz w:val="31"/>
          <w:szCs w:val="31"/>
          <w:highlight w:val="none"/>
          <w:lang w:val="zh-CN" w:eastAsia="zh-CN"/>
        </w:rPr>
        <w:t>万元，完成年初预算的</w:t>
      </w:r>
      <w:r>
        <w:rPr>
          <w:rFonts w:hint="eastAsia" w:ascii="仿宋" w:hAnsi="仿宋" w:eastAsia="仿宋" w:cs="仿宋"/>
          <w:i w:val="0"/>
          <w:iCs w:val="0"/>
          <w:caps w:val="0"/>
          <w:color w:val="000000"/>
          <w:spacing w:val="0"/>
          <w:sz w:val="31"/>
          <w:szCs w:val="31"/>
          <w:highlight w:val="none"/>
          <w:lang w:val="en-US" w:eastAsia="zh-CN"/>
        </w:rPr>
        <w:t>62.4</w:t>
      </w:r>
      <w:r>
        <w:rPr>
          <w:rFonts w:hint="eastAsia" w:ascii="仿宋" w:hAnsi="仿宋" w:eastAsia="仿宋" w:cs="仿宋"/>
          <w:i w:val="0"/>
          <w:iCs w:val="0"/>
          <w:caps w:val="0"/>
          <w:color w:val="000000"/>
          <w:spacing w:val="0"/>
          <w:sz w:val="31"/>
          <w:szCs w:val="31"/>
          <w:highlight w:val="none"/>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决算数与年初预算数存在差异的主要原因是预算科目调整。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i w:val="0"/>
          <w:iCs w:val="0"/>
          <w:caps w:val="0"/>
          <w:color w:val="000000"/>
          <w:spacing w:val="0"/>
          <w:sz w:val="31"/>
          <w:szCs w:val="31"/>
          <w:highlight w:val="none"/>
          <w:lang w:val="en-US" w:eastAsia="zh-CN"/>
        </w:rPr>
        <w:t>11.</w:t>
      </w:r>
      <w:r>
        <w:rPr>
          <w:rFonts w:hint="eastAsia" w:ascii="仿宋" w:hAnsi="仿宋" w:eastAsia="仿宋" w:cs="仿宋"/>
          <w:b/>
          <w:bCs/>
          <w:i w:val="0"/>
          <w:iCs w:val="0"/>
          <w:caps w:val="0"/>
          <w:color w:val="000000"/>
          <w:spacing w:val="0"/>
          <w:sz w:val="31"/>
          <w:szCs w:val="31"/>
          <w:highlight w:val="none"/>
          <w:lang w:val="zh-CN" w:eastAsia="zh-CN"/>
        </w:rPr>
        <w:t>卫生健康支出（类）医疗保障管理事务（款） 其他医疗保障管理事务支出（项）。</w:t>
      </w:r>
      <w:r>
        <w:rPr>
          <w:rFonts w:hint="eastAsia" w:ascii="仿宋" w:hAnsi="仿宋" w:eastAsia="仿宋" w:cs="仿宋"/>
          <w:i w:val="0"/>
          <w:iCs w:val="0"/>
          <w:caps w:val="0"/>
          <w:color w:val="000000"/>
          <w:spacing w:val="0"/>
          <w:sz w:val="31"/>
          <w:szCs w:val="31"/>
          <w:highlight w:val="none"/>
          <w:lang w:val="zh-CN" w:eastAsia="zh-CN"/>
        </w:rPr>
        <w:t>年初预算为</w:t>
      </w:r>
      <w:r>
        <w:rPr>
          <w:rFonts w:hint="eastAsia" w:ascii="仿宋" w:hAnsi="仿宋" w:eastAsia="仿宋" w:cs="仿宋"/>
          <w:i w:val="0"/>
          <w:iCs w:val="0"/>
          <w:caps w:val="0"/>
          <w:color w:val="000000"/>
          <w:spacing w:val="0"/>
          <w:sz w:val="31"/>
          <w:szCs w:val="31"/>
          <w:highlight w:val="none"/>
          <w:lang w:val="en-US" w:eastAsia="zh-CN"/>
        </w:rPr>
        <w:t>38.28</w:t>
      </w:r>
      <w:r>
        <w:rPr>
          <w:rFonts w:hint="eastAsia" w:ascii="仿宋" w:hAnsi="仿宋" w:eastAsia="仿宋" w:cs="仿宋"/>
          <w:i w:val="0"/>
          <w:iCs w:val="0"/>
          <w:caps w:val="0"/>
          <w:color w:val="000000"/>
          <w:spacing w:val="0"/>
          <w:sz w:val="31"/>
          <w:szCs w:val="31"/>
          <w:highlight w:val="none"/>
          <w:lang w:val="zh-CN" w:eastAsia="zh-CN"/>
        </w:rPr>
        <w:t>万元，支出决算为</w:t>
      </w:r>
      <w:r>
        <w:rPr>
          <w:rFonts w:hint="eastAsia" w:ascii="仿宋" w:hAnsi="仿宋" w:eastAsia="仿宋" w:cs="仿宋"/>
          <w:i w:val="0"/>
          <w:iCs w:val="0"/>
          <w:caps w:val="0"/>
          <w:color w:val="000000"/>
          <w:spacing w:val="0"/>
          <w:sz w:val="31"/>
          <w:szCs w:val="31"/>
          <w:highlight w:val="none"/>
          <w:lang w:val="en-US" w:eastAsia="zh-CN"/>
        </w:rPr>
        <w:t>71.11</w:t>
      </w:r>
      <w:r>
        <w:rPr>
          <w:rFonts w:hint="eastAsia" w:ascii="仿宋" w:hAnsi="仿宋" w:eastAsia="仿宋" w:cs="仿宋"/>
          <w:i w:val="0"/>
          <w:iCs w:val="0"/>
          <w:caps w:val="0"/>
          <w:color w:val="000000"/>
          <w:spacing w:val="0"/>
          <w:sz w:val="31"/>
          <w:szCs w:val="31"/>
          <w:highlight w:val="none"/>
          <w:lang w:val="zh-CN" w:eastAsia="zh-CN"/>
        </w:rPr>
        <w:t>万元，完成年初预算的</w:t>
      </w:r>
      <w:r>
        <w:rPr>
          <w:rFonts w:hint="eastAsia" w:ascii="仿宋" w:hAnsi="仿宋" w:eastAsia="仿宋" w:cs="仿宋"/>
          <w:i w:val="0"/>
          <w:iCs w:val="0"/>
          <w:caps w:val="0"/>
          <w:color w:val="000000"/>
          <w:spacing w:val="0"/>
          <w:sz w:val="31"/>
          <w:szCs w:val="31"/>
          <w:highlight w:val="none"/>
          <w:lang w:val="en-US" w:eastAsia="zh-CN"/>
        </w:rPr>
        <w:t>185.76</w:t>
      </w:r>
      <w:r>
        <w:rPr>
          <w:rFonts w:hint="eastAsia" w:ascii="仿宋" w:hAnsi="仿宋" w:eastAsia="仿宋" w:cs="仿宋"/>
          <w:i w:val="0"/>
          <w:iCs w:val="0"/>
          <w:caps w:val="0"/>
          <w:color w:val="000000"/>
          <w:spacing w:val="0"/>
          <w:sz w:val="31"/>
          <w:szCs w:val="31"/>
          <w:highlight w:val="none"/>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决算数与年初预算数存在差异的主要原因是本年新增上级转移支付支出。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b/>
          <w:bCs/>
          <w:i w:val="0"/>
          <w:iCs w:val="0"/>
          <w:caps w:val="0"/>
          <w:color w:val="000000"/>
          <w:spacing w:val="0"/>
          <w:sz w:val="31"/>
          <w:szCs w:val="31"/>
          <w:lang w:val="en-US" w:eastAsia="zh-CN"/>
        </w:rPr>
        <w:t>2.</w:t>
      </w:r>
      <w:r>
        <w:rPr>
          <w:rFonts w:hint="eastAsia" w:ascii="仿宋" w:hAnsi="仿宋" w:eastAsia="仿宋" w:cs="仿宋"/>
          <w:b/>
          <w:bCs/>
          <w:i w:val="0"/>
          <w:iCs w:val="0"/>
          <w:caps w:val="0"/>
          <w:color w:val="000000"/>
          <w:spacing w:val="0"/>
          <w:sz w:val="31"/>
          <w:szCs w:val="31"/>
          <w:lang w:val="zh-CN" w:eastAsia="zh-CN"/>
        </w:rPr>
        <w:t>卫生健康支出（类）其他卫生健康支出（款）其他卫生健康支出（项）。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0.06</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0.06</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default"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13.</w:t>
      </w:r>
      <w:r>
        <w:rPr>
          <w:rFonts w:hint="eastAsia" w:ascii="仿宋" w:hAnsi="仿宋" w:eastAsia="仿宋" w:cs="仿宋"/>
          <w:b/>
          <w:bCs/>
          <w:i w:val="0"/>
          <w:iCs w:val="0"/>
          <w:caps w:val="0"/>
          <w:color w:val="000000"/>
          <w:spacing w:val="0"/>
          <w:sz w:val="31"/>
          <w:szCs w:val="31"/>
          <w:lang w:val="zh-CN" w:eastAsia="zh-CN"/>
        </w:rPr>
        <w:t>农林水支出（类）扶贫（款）其他扶贫支出（项）。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6.84</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6.84</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100</w:t>
      </w:r>
      <w:r>
        <w:rPr>
          <w:rFonts w:hint="eastAsia" w:ascii="仿宋" w:hAnsi="仿宋" w:eastAsia="仿宋" w:cs="仿宋"/>
          <w:i w:val="0"/>
          <w:iCs w:val="0"/>
          <w:caps w:val="0"/>
          <w:color w:val="000000"/>
          <w:spacing w:val="0"/>
          <w:sz w:val="31"/>
          <w:szCs w:val="31"/>
          <w:lang w:val="zh-CN" w:eastAsia="zh-CN"/>
        </w:rPr>
        <w:t>%。决算数与年初预算数</w:t>
      </w:r>
      <w:r>
        <w:rPr>
          <w:rFonts w:hint="eastAsia" w:ascii="仿宋" w:hAnsi="仿宋" w:eastAsia="仿宋" w:cs="仿宋"/>
          <w:i w:val="0"/>
          <w:iCs w:val="0"/>
          <w:caps w:val="0"/>
          <w:color w:val="000000"/>
          <w:spacing w:val="0"/>
          <w:sz w:val="31"/>
          <w:szCs w:val="31"/>
          <w:lang w:val="en-US" w:eastAsia="zh-CN"/>
        </w:rPr>
        <w:t>一致</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en-US" w:eastAsia="zh-CN"/>
        </w:rPr>
        <w:t>14.</w:t>
      </w:r>
      <w:r>
        <w:rPr>
          <w:rFonts w:hint="eastAsia" w:ascii="仿宋" w:hAnsi="仿宋" w:eastAsia="仿宋" w:cs="仿宋"/>
          <w:b/>
          <w:bCs/>
          <w:i w:val="0"/>
          <w:iCs w:val="0"/>
          <w:caps w:val="0"/>
          <w:color w:val="000000"/>
          <w:spacing w:val="0"/>
          <w:sz w:val="31"/>
          <w:szCs w:val="31"/>
          <w:lang w:val="zh-CN" w:eastAsia="zh-CN"/>
        </w:rPr>
        <w:t>住房保障支出（类）住房改革支出（款）住房公积金（项）。</w:t>
      </w:r>
      <w:r>
        <w:rPr>
          <w:rFonts w:hint="eastAsia" w:ascii="仿宋" w:hAnsi="仿宋" w:eastAsia="仿宋" w:cs="仿宋"/>
          <w:i w:val="0"/>
          <w:iCs w:val="0"/>
          <w:caps w:val="0"/>
          <w:color w:val="000000"/>
          <w:spacing w:val="0"/>
          <w:sz w:val="31"/>
          <w:szCs w:val="31"/>
          <w:lang w:val="zh-CN" w:eastAsia="zh-CN"/>
        </w:rPr>
        <w:t>年初预算为</w:t>
      </w:r>
      <w:r>
        <w:rPr>
          <w:rFonts w:hint="eastAsia" w:ascii="仿宋" w:hAnsi="仿宋" w:eastAsia="仿宋" w:cs="仿宋"/>
          <w:i w:val="0"/>
          <w:iCs w:val="0"/>
          <w:caps w:val="0"/>
          <w:color w:val="000000"/>
          <w:spacing w:val="0"/>
          <w:sz w:val="31"/>
          <w:szCs w:val="31"/>
          <w:lang w:val="en-US" w:eastAsia="zh-CN"/>
        </w:rPr>
        <w:t>57.49</w:t>
      </w:r>
      <w:r>
        <w:rPr>
          <w:rFonts w:hint="eastAsia" w:ascii="仿宋" w:hAnsi="仿宋" w:eastAsia="仿宋" w:cs="仿宋"/>
          <w:i w:val="0"/>
          <w:iCs w:val="0"/>
          <w:caps w:val="0"/>
          <w:color w:val="000000"/>
          <w:spacing w:val="0"/>
          <w:sz w:val="31"/>
          <w:szCs w:val="31"/>
          <w:lang w:val="zh-CN" w:eastAsia="zh-CN"/>
        </w:rPr>
        <w:t>万元，支出决算为</w:t>
      </w:r>
      <w:r>
        <w:rPr>
          <w:rFonts w:hint="eastAsia" w:ascii="仿宋" w:hAnsi="仿宋" w:eastAsia="仿宋" w:cs="仿宋"/>
          <w:i w:val="0"/>
          <w:iCs w:val="0"/>
          <w:caps w:val="0"/>
          <w:color w:val="000000"/>
          <w:spacing w:val="0"/>
          <w:sz w:val="31"/>
          <w:szCs w:val="31"/>
          <w:lang w:val="en-US" w:eastAsia="zh-CN"/>
        </w:rPr>
        <w:t>52.04</w:t>
      </w:r>
      <w:r>
        <w:rPr>
          <w:rFonts w:hint="eastAsia" w:ascii="仿宋" w:hAnsi="仿宋" w:eastAsia="仿宋" w:cs="仿宋"/>
          <w:i w:val="0"/>
          <w:iCs w:val="0"/>
          <w:caps w:val="0"/>
          <w:color w:val="000000"/>
          <w:spacing w:val="0"/>
          <w:sz w:val="31"/>
          <w:szCs w:val="31"/>
          <w:lang w:val="zh-CN" w:eastAsia="zh-CN"/>
        </w:rPr>
        <w:t>万元，完成年初预算的</w:t>
      </w:r>
      <w:r>
        <w:rPr>
          <w:rFonts w:hint="eastAsia" w:ascii="仿宋" w:hAnsi="仿宋" w:eastAsia="仿宋" w:cs="仿宋"/>
          <w:i w:val="0"/>
          <w:iCs w:val="0"/>
          <w:caps w:val="0"/>
          <w:color w:val="000000"/>
          <w:spacing w:val="0"/>
          <w:sz w:val="31"/>
          <w:szCs w:val="31"/>
          <w:lang w:val="en-US" w:eastAsia="zh-CN"/>
        </w:rPr>
        <w:t>90</w:t>
      </w:r>
      <w:r>
        <w:rPr>
          <w:rFonts w:hint="eastAsia" w:ascii="仿宋" w:hAnsi="仿宋" w:eastAsia="仿宋" w:cs="仿宋"/>
          <w:i w:val="0"/>
          <w:iCs w:val="0"/>
          <w:caps w:val="0"/>
          <w:color w:val="000000"/>
          <w:spacing w:val="0"/>
          <w:sz w:val="31"/>
          <w:szCs w:val="31"/>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决算数与年初预算数存在差异的主要原因是预算科目调整。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highlight w:val="none"/>
          <w:lang w:val="zh-CN" w:eastAsia="zh-CN"/>
        </w:rPr>
      </w:pPr>
      <w:r>
        <w:rPr>
          <w:rFonts w:hint="eastAsia" w:ascii="仿宋" w:hAnsi="仿宋" w:eastAsia="仿宋" w:cs="仿宋"/>
          <w:i w:val="0"/>
          <w:iCs w:val="0"/>
          <w:caps w:val="0"/>
          <w:color w:val="000000"/>
          <w:spacing w:val="0"/>
          <w:sz w:val="31"/>
          <w:szCs w:val="31"/>
          <w:highlight w:val="none"/>
          <w:lang w:val="zh-CN" w:eastAsia="zh-CN"/>
        </w:rPr>
        <w:t>2020年度一般公共预算财政拨款基本支出1,386.82万元。其中：人员经费1,103.05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283.77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七、一般公共预算财政拨款</w:t>
      </w:r>
      <w:r>
        <w:rPr>
          <w:rFonts w:hint="default" w:ascii="黑体" w:hAnsi="黑体" w:eastAsia="黑体" w:cs="黑体"/>
          <w:color w:val="auto"/>
          <w:sz w:val="32"/>
          <w:szCs w:val="32"/>
          <w:highlight w:val="none"/>
          <w:lang w:val="zh-CN" w:eastAsia="zh-CN"/>
        </w:rPr>
        <w:t>“</w:t>
      </w:r>
      <w:r>
        <w:rPr>
          <w:rFonts w:hint="eastAsia" w:ascii="黑体" w:hAnsi="黑体" w:eastAsia="黑体" w:cs="黑体"/>
          <w:color w:val="auto"/>
          <w:sz w:val="32"/>
          <w:szCs w:val="32"/>
          <w:highlight w:val="none"/>
          <w:lang w:val="zh-CN" w:eastAsia="zh-CN"/>
        </w:rPr>
        <w:t>三公</w:t>
      </w:r>
      <w:r>
        <w:rPr>
          <w:rFonts w:hint="default" w:ascii="黑体" w:hAnsi="黑体" w:eastAsia="黑体" w:cs="黑体"/>
          <w:color w:val="auto"/>
          <w:sz w:val="32"/>
          <w:szCs w:val="32"/>
          <w:highlight w:val="none"/>
          <w:lang w:val="zh-CN" w:eastAsia="zh-CN"/>
        </w:rPr>
        <w:t>”</w:t>
      </w:r>
      <w:r>
        <w:rPr>
          <w:rFonts w:hint="eastAsia" w:ascii="黑体" w:hAnsi="黑体" w:eastAsia="黑体" w:cs="黑体"/>
          <w:color w:val="auto"/>
          <w:sz w:val="32"/>
          <w:szCs w:val="32"/>
          <w:highlight w:val="none"/>
          <w:lang w:val="zh-CN" w:eastAsia="zh-CN"/>
        </w:rPr>
        <w:t>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（一）</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三公</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经费财政拨款支出决算总体情况说明。</w:t>
      </w:r>
    </w:p>
    <w:p>
      <w:pPr>
        <w:widowControl/>
        <w:spacing w:line="590" w:lineRule="exact"/>
        <w:ind w:firstLine="620" w:firstLineChars="20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i w:val="0"/>
          <w:iCs w:val="0"/>
          <w:caps w:val="0"/>
          <w:color w:val="000000"/>
          <w:spacing w:val="0"/>
          <w:sz w:val="31"/>
          <w:szCs w:val="31"/>
          <w:lang w:val="zh-CN" w:eastAsia="zh-CN"/>
        </w:rPr>
        <w:t>2020年度</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三公</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经费财政拨款支出预算为6.5</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万元，支出决算为1.13万元，完成预算的17.36%。2020年度</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三公</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经费支出决算数与预算数存在差异的主要原因是</w:t>
      </w:r>
      <w:r>
        <w:rPr>
          <w:rFonts w:hint="eastAsia" w:ascii="仿宋_GB2312" w:hAnsi="宋体" w:eastAsia="仿宋_GB2312" w:cs="Courier New"/>
          <w:color w:val="000000"/>
          <w:sz w:val="32"/>
          <w:szCs w:val="32"/>
          <w:lang w:eastAsia="zh-CN"/>
        </w:rPr>
        <w:t>厉行节约，进一步从严控制“三公”经费开支</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（二）</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三公</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三公</w:t>
      </w:r>
      <w:r>
        <w:rPr>
          <w:rFonts w:hint="default" w:ascii="仿宋" w:hAnsi="仿宋" w:eastAsia="仿宋" w:cs="仿宋"/>
          <w:i w:val="0"/>
          <w:iCs w:val="0"/>
          <w:caps w:val="0"/>
          <w:color w:val="000000"/>
          <w:spacing w:val="0"/>
          <w:sz w:val="31"/>
          <w:szCs w:val="31"/>
          <w:lang w:val="zh-CN" w:eastAsia="zh-CN"/>
        </w:rPr>
        <w:t>”</w:t>
      </w:r>
      <w:r>
        <w:rPr>
          <w:rFonts w:hint="eastAsia" w:ascii="仿宋" w:hAnsi="仿宋" w:eastAsia="仿宋" w:cs="仿宋"/>
          <w:i w:val="0"/>
          <w:iCs w:val="0"/>
          <w:caps w:val="0"/>
          <w:color w:val="000000"/>
          <w:spacing w:val="0"/>
          <w:sz w:val="31"/>
          <w:szCs w:val="31"/>
          <w:lang w:val="zh-CN" w:eastAsia="zh-CN"/>
        </w:rPr>
        <w:t>经费财政拨款支出决算中，因公出国（境）费支出决算0万元，完成预算的0%，占0%；公务用车购置及运行费支出决算1.13万元，完成预算的75.23%，占100%；公务接待费支出决算0万元，完成预算的0%，占0%；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1．因公出国（境）费年初预算为0万元，支出决算为0万元，完成年初预算的0%，决算数与年初预算数</w:t>
      </w:r>
      <w:r>
        <w:rPr>
          <w:rFonts w:hint="eastAsia" w:ascii="仿宋" w:hAnsi="仿宋" w:eastAsia="仿宋" w:cs="仿宋"/>
          <w:i w:val="0"/>
          <w:iCs w:val="0"/>
          <w:caps w:val="0"/>
          <w:color w:val="000000"/>
          <w:spacing w:val="0"/>
          <w:sz w:val="31"/>
          <w:szCs w:val="31"/>
          <w:lang w:val="en-US" w:eastAsia="zh-CN"/>
        </w:rPr>
        <w:t>一致</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因公出国（境）团组数0个，因公出国（境）人次数0人。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2．公务用车购置及运行费年初预算为1.5万元，支出决算为1.13万元，完成年初预算的75.23%，决算数与年初预算数存在差异的主要原因是</w:t>
      </w:r>
      <w:r>
        <w:rPr>
          <w:rFonts w:hint="eastAsia" w:ascii="仿宋_GB2312" w:hAnsi="仿宋_GB2312" w:eastAsia="仿宋_GB2312" w:cs="仿宋_GB2312"/>
          <w:kern w:val="0"/>
          <w:sz w:val="32"/>
          <w:szCs w:val="32"/>
          <w:lang w:val="zh-CN"/>
        </w:rPr>
        <w:t>压缩三公经费</w:t>
      </w:r>
      <w:r>
        <w:rPr>
          <w:rFonts w:hint="eastAsia" w:ascii="仿宋" w:hAnsi="仿宋" w:eastAsia="仿宋" w:cs="仿宋"/>
          <w:i w:val="0"/>
          <w:iCs w:val="0"/>
          <w:caps w:val="0"/>
          <w:color w:val="000000"/>
          <w:spacing w:val="0"/>
          <w:sz w:val="31"/>
          <w:szCs w:val="31"/>
          <w:lang w:val="zh-CN" w:eastAsia="zh-CN"/>
        </w:rPr>
        <w:t>。其中：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公务用车购置支出0万元，购置车辆</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公务用车运行支出1.13万元。主要用于</w:t>
      </w:r>
      <w:r>
        <w:rPr>
          <w:rFonts w:hint="eastAsia" w:ascii="仿宋_GB2312" w:hAnsi="仿宋_GB2312" w:eastAsia="仿宋_GB2312" w:cs="仿宋_GB2312"/>
          <w:color w:val="auto"/>
          <w:sz w:val="32"/>
          <w:szCs w:val="32"/>
          <w:highlight w:val="none"/>
          <w:lang w:val="en-US" w:eastAsia="zh-CN"/>
        </w:rPr>
        <w:t>保障日常公务、基层工作等需要的车辆燃油费、维护费等。</w:t>
      </w:r>
      <w:r>
        <w:rPr>
          <w:rFonts w:hint="eastAsia" w:ascii="仿宋" w:hAnsi="仿宋" w:eastAsia="仿宋" w:cs="仿宋"/>
          <w:i w:val="0"/>
          <w:iCs w:val="0"/>
          <w:caps w:val="0"/>
          <w:color w:val="000000"/>
          <w:spacing w:val="0"/>
          <w:sz w:val="31"/>
          <w:szCs w:val="31"/>
          <w:lang w:val="zh-CN" w:eastAsia="zh-CN"/>
        </w:rPr>
        <w:t>2020年期末，单位开支财政拨款的公务用车保有量为</w:t>
      </w:r>
      <w:r>
        <w:rPr>
          <w:rFonts w:hint="eastAsia" w:ascii="仿宋" w:hAnsi="仿宋" w:eastAsia="仿宋" w:cs="仿宋"/>
          <w:i w:val="0"/>
          <w:iCs w:val="0"/>
          <w:caps w:val="0"/>
          <w:color w:val="000000"/>
          <w:spacing w:val="0"/>
          <w:sz w:val="31"/>
          <w:szCs w:val="31"/>
          <w:lang w:val="en-US" w:eastAsia="zh-CN"/>
        </w:rPr>
        <w:t>1辆</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3.公务接待费年初预算为5万元，支出决算为0万元，完成年初预算的0%。决算数与年初预算数存在差异的主要原因是</w:t>
      </w:r>
      <w:r>
        <w:rPr>
          <w:rFonts w:hint="eastAsia" w:ascii="仿宋_GB2312" w:hAnsi="宋体" w:eastAsia="仿宋_GB2312" w:cs="Courier New"/>
          <w:color w:val="000000"/>
          <w:sz w:val="32"/>
          <w:szCs w:val="32"/>
          <w:lang w:eastAsia="zh-CN"/>
        </w:rPr>
        <w:t>厉行节约，进一步从严控制“三公”经费开支</w:t>
      </w:r>
      <w:r>
        <w:rPr>
          <w:rFonts w:hint="eastAsia" w:ascii="仿宋" w:hAnsi="仿宋" w:eastAsia="仿宋" w:cs="仿宋"/>
          <w:i w:val="0"/>
          <w:iCs w:val="0"/>
          <w:caps w:val="0"/>
          <w:color w:val="000000"/>
          <w:spacing w:val="0"/>
          <w:sz w:val="31"/>
          <w:szCs w:val="31"/>
          <w:lang w:val="zh-CN" w:eastAsia="zh-CN"/>
        </w:rPr>
        <w:t>。其中：</w:t>
      </w:r>
    </w:p>
    <w:p>
      <w:pPr>
        <w:keepNext w:val="0"/>
        <w:keepLines w:val="0"/>
        <w:pageBreakBefore w:val="0"/>
        <w:widowControl/>
        <w:kinsoku/>
        <w:wordWrap/>
        <w:overflowPunct/>
        <w:topLinePunct w:val="0"/>
        <w:autoSpaceDE/>
        <w:autoSpaceDN/>
        <w:bidi w:val="0"/>
        <w:adjustRightInd/>
        <w:snapToGrid/>
        <w:spacing w:line="590" w:lineRule="exact"/>
        <w:ind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外宾接待支出</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万元。2020年共接待国（境）外来访团组</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个、来访外宾</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其他国内公务接待支出</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元。2020年共接待国内来访团组</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个、来宾</w:t>
      </w:r>
      <w:r>
        <w:rPr>
          <w:rFonts w:hint="eastAsia" w:ascii="仿宋" w:hAnsi="仿宋" w:eastAsia="仿宋" w:cs="仿宋"/>
          <w:i w:val="0"/>
          <w:iCs w:val="0"/>
          <w:caps w:val="0"/>
          <w:color w:val="000000"/>
          <w:spacing w:val="0"/>
          <w:sz w:val="31"/>
          <w:szCs w:val="31"/>
          <w:lang w:val="en-US" w:eastAsia="zh-CN"/>
        </w:rPr>
        <w:t>0</w:t>
      </w:r>
      <w:r>
        <w:rPr>
          <w:rFonts w:hint="eastAsia" w:ascii="仿宋" w:hAnsi="仿宋" w:eastAsia="仿宋" w:cs="仿宋"/>
          <w:i w:val="0"/>
          <w:iCs w:val="0"/>
          <w:caps w:val="0"/>
          <w:color w:val="000000"/>
          <w:spacing w:val="0"/>
          <w:sz w:val="31"/>
          <w:szCs w:val="31"/>
          <w:lang w:val="zh-CN" w:eastAsia="zh-CN"/>
        </w:rPr>
        <w:t>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 xml:space="preserve">年一般性项目无涉及重大项目资金，无预算绩效项目。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_GB2312" w:hAnsi="仿宋_GB2312" w:eastAsia="仿宋_GB2312" w:cs="仿宋_GB2312"/>
          <w:sz w:val="32"/>
          <w:szCs w:val="32"/>
        </w:rPr>
        <w:t>无预算绩效项目</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（三）以单位为主体开展的重点绩效评价结果。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_GB2312" w:hAnsi="仿宋_GB2312" w:eastAsia="仿宋_GB2312" w:cs="仿宋_GB2312"/>
          <w:sz w:val="32"/>
          <w:szCs w:val="32"/>
        </w:rPr>
        <w:t>无预算绩效项目</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2020年度政府性基金预算财政拨款支出年初预算为0万元，支出决算为0万元，完成年初预算的0%。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highlight w:val="red"/>
          <w:lang w:val="zh-CN" w:eastAsia="zh-CN"/>
        </w:rPr>
      </w:pPr>
      <w:r>
        <w:rPr>
          <w:rFonts w:hint="eastAsia" w:ascii="仿宋" w:hAnsi="仿宋" w:eastAsia="仿宋" w:cs="仿宋"/>
          <w:i w:val="0"/>
          <w:iCs w:val="0"/>
          <w:caps w:val="0"/>
          <w:color w:val="000000"/>
          <w:spacing w:val="0"/>
          <w:sz w:val="31"/>
          <w:szCs w:val="31"/>
          <w:highlight w:val="none"/>
          <w:lang w:val="zh-CN" w:eastAsia="zh-CN"/>
        </w:rPr>
        <w:t>2020年度机关运行经费初预算为</w:t>
      </w:r>
      <w:r>
        <w:rPr>
          <w:rFonts w:hint="eastAsia" w:ascii="仿宋" w:hAnsi="仿宋" w:eastAsia="仿宋" w:cs="仿宋"/>
          <w:i w:val="0"/>
          <w:iCs w:val="0"/>
          <w:caps w:val="0"/>
          <w:color w:val="000000"/>
          <w:spacing w:val="0"/>
          <w:sz w:val="31"/>
          <w:szCs w:val="31"/>
          <w:highlight w:val="none"/>
          <w:lang w:val="en-US" w:eastAsia="zh-CN"/>
        </w:rPr>
        <w:t>344</w:t>
      </w:r>
      <w:r>
        <w:rPr>
          <w:rFonts w:hint="eastAsia" w:ascii="仿宋" w:hAnsi="仿宋" w:eastAsia="仿宋" w:cs="仿宋"/>
          <w:i w:val="0"/>
          <w:iCs w:val="0"/>
          <w:caps w:val="0"/>
          <w:color w:val="000000"/>
          <w:spacing w:val="0"/>
          <w:sz w:val="31"/>
          <w:szCs w:val="31"/>
          <w:highlight w:val="none"/>
          <w:lang w:val="zh-CN" w:eastAsia="zh-CN"/>
        </w:rPr>
        <w:t>万元，支出决算为279.93万元，完成年初预算的</w:t>
      </w:r>
      <w:r>
        <w:rPr>
          <w:rFonts w:hint="eastAsia" w:ascii="仿宋" w:hAnsi="仿宋" w:eastAsia="仿宋" w:cs="仿宋"/>
          <w:i w:val="0"/>
          <w:iCs w:val="0"/>
          <w:caps w:val="0"/>
          <w:color w:val="000000"/>
          <w:spacing w:val="0"/>
          <w:sz w:val="31"/>
          <w:szCs w:val="31"/>
          <w:highlight w:val="none"/>
          <w:lang w:val="en-US" w:eastAsia="zh-CN"/>
        </w:rPr>
        <w:t>81.38</w:t>
      </w:r>
      <w:r>
        <w:rPr>
          <w:rFonts w:hint="eastAsia" w:ascii="仿宋" w:hAnsi="仿宋" w:eastAsia="仿宋" w:cs="仿宋"/>
          <w:i w:val="0"/>
          <w:iCs w:val="0"/>
          <w:caps w:val="0"/>
          <w:color w:val="000000"/>
          <w:spacing w:val="0"/>
          <w:sz w:val="31"/>
          <w:szCs w:val="31"/>
          <w:highlight w:val="none"/>
          <w:lang w:val="zh-CN" w:eastAsia="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决算数与年初预算数存在差异的主要原因是压缩一般性公务支出。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2020年度政府采购支出总额</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万元，其中：政府采购货物支出</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万元、政府采购工程支出</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万元、政府采购服务支出</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万元。授予中小企业合同金额</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万元，占政府采购支出总额的</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%，其中：授予小微企业合同金额</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万元，占政府采购支出总额的</w:t>
      </w:r>
      <w:r>
        <w:rPr>
          <w:rFonts w:hint="eastAsia" w:ascii="仿宋" w:hAnsi="仿宋" w:eastAsia="仿宋" w:cs="仿宋"/>
          <w:i w:val="0"/>
          <w:iCs w:val="0"/>
          <w:caps w:val="0"/>
          <w:color w:val="000000"/>
          <w:spacing w:val="0"/>
          <w:sz w:val="31"/>
          <w:szCs w:val="31"/>
          <w:lang w:val="en-US" w:eastAsia="zh-CN"/>
        </w:rPr>
        <w:t>0.00</w:t>
      </w:r>
      <w:r>
        <w:rPr>
          <w:rFonts w:hint="eastAsia" w:ascii="仿宋" w:hAnsi="仿宋" w:eastAsia="仿宋" w:cs="仿宋"/>
          <w:i w:val="0"/>
          <w:iCs w:val="0"/>
          <w:caps w:val="0"/>
          <w:color w:val="000000"/>
          <w:spacing w:val="0"/>
          <w:sz w:val="31"/>
          <w:szCs w:val="31"/>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 w:hAnsi="仿宋" w:eastAsia="仿宋" w:cs="仿宋"/>
          <w:i w:val="0"/>
          <w:iCs w:val="0"/>
          <w:caps w:val="0"/>
          <w:color w:val="000000"/>
          <w:spacing w:val="0"/>
          <w:sz w:val="31"/>
          <w:szCs w:val="31"/>
          <w:lang w:val="zh-CN" w:eastAsia="zh-CN"/>
        </w:rPr>
      </w:pPr>
      <w:r>
        <w:rPr>
          <w:rFonts w:hint="eastAsia" w:ascii="仿宋" w:hAnsi="仿宋" w:eastAsia="仿宋" w:cs="仿宋"/>
          <w:i w:val="0"/>
          <w:iCs w:val="0"/>
          <w:caps w:val="0"/>
          <w:color w:val="000000"/>
          <w:spacing w:val="0"/>
          <w:sz w:val="31"/>
          <w:szCs w:val="31"/>
          <w:lang w:val="zh-CN" w:eastAsia="zh-CN"/>
        </w:rPr>
        <w:t>2020年期末，我单位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jc w:val="center"/>
        <w:outlineLvl w:val="9"/>
        <w:rPr>
          <w:rFonts w:hint="eastAsia" w:ascii="黑体" w:hAnsi="黑体" w:eastAsia="黑体" w:cs="黑体"/>
          <w:color w:val="auto"/>
          <w:sz w:val="48"/>
          <w:szCs w:val="48"/>
          <w:highlight w:val="none"/>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sectPr>
      <w:pgSz w:w="16838" w:h="11906" w:orient="landscape"/>
      <w:pgMar w:top="1588" w:right="1928"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9695A"/>
    <w:multiLevelType w:val="singleLevel"/>
    <w:tmpl w:val="3409695A"/>
    <w:lvl w:ilvl="0" w:tentative="0">
      <w:start w:val="1"/>
      <w:numFmt w:val="decimal"/>
      <w:suff w:val="nothing"/>
      <w:lvlText w:val="%1．"/>
      <w:lvlJc w:val="left"/>
      <w:pPr>
        <w:ind w:left="-10"/>
      </w:p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A0AF9"/>
    <w:rsid w:val="4DA66BBE"/>
    <w:rsid w:val="4E42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2021-09-27T00:27:00Z</dcterms:created>
  <dc:creator>Lenovo</dc:creator>
  <cp:lastModifiedBy>三门峡韩胜利</cp:lastModifiedBy>
  <dcterms:modified xsi:type="dcterms:W3CDTF">2021-09-27T00:58:11Z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585D60DF46BD4D71A88D2DEADD7FBEB2</vt:lpwstr>
  </property>
</Properties>
</file>