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000000"/>
          <w:kern w:val="0"/>
          <w:sz w:val="52"/>
          <w:szCs w:val="52"/>
          <w:lang w:val="en-US" w:eastAsia="zh-CN" w:bidi="ar"/>
        </w:rPr>
      </w:pPr>
    </w:p>
    <w:p>
      <w:pPr>
        <w:keepNext w:val="0"/>
        <w:keepLines w:val="0"/>
        <w:widowControl/>
        <w:suppressLineNumbers w:val="0"/>
        <w:jc w:val="center"/>
        <w:rPr>
          <w:rFonts w:ascii="黑体" w:hAnsi="宋体" w:eastAsia="黑体" w:cs="黑体"/>
          <w:color w:val="000000"/>
          <w:kern w:val="0"/>
          <w:sz w:val="52"/>
          <w:szCs w:val="52"/>
          <w:lang w:val="en-US" w:eastAsia="zh-CN" w:bidi="ar"/>
        </w:rPr>
      </w:pPr>
    </w:p>
    <w:p>
      <w:pPr>
        <w:keepNext w:val="0"/>
        <w:keepLines w:val="0"/>
        <w:widowControl/>
        <w:suppressLineNumbers w:val="0"/>
        <w:jc w:val="center"/>
        <w:rPr>
          <w:rFonts w:ascii="黑体" w:hAnsi="宋体" w:eastAsia="黑体" w:cs="黑体"/>
          <w:color w:val="000000"/>
          <w:kern w:val="0"/>
          <w:sz w:val="52"/>
          <w:szCs w:val="52"/>
          <w:lang w:val="en-US" w:eastAsia="zh-CN" w:bidi="ar"/>
        </w:rPr>
      </w:pPr>
    </w:p>
    <w:p>
      <w:pPr>
        <w:keepNext w:val="0"/>
        <w:keepLines w:val="0"/>
        <w:widowControl/>
        <w:suppressLineNumbers w:val="0"/>
        <w:jc w:val="center"/>
        <w:rPr>
          <w:rFonts w:ascii="黑体" w:hAnsi="宋体" w:eastAsia="黑体" w:cs="黑体"/>
          <w:color w:val="000000"/>
          <w:kern w:val="0"/>
          <w:sz w:val="52"/>
          <w:szCs w:val="52"/>
          <w:lang w:val="en-US" w:eastAsia="zh-CN" w:bidi="ar"/>
        </w:rPr>
      </w:pPr>
    </w:p>
    <w:p>
      <w:pPr>
        <w:keepNext w:val="0"/>
        <w:keepLines w:val="0"/>
        <w:widowControl/>
        <w:suppressLineNumbers w:val="0"/>
        <w:jc w:val="center"/>
      </w:pPr>
      <w:r>
        <w:rPr>
          <w:rFonts w:ascii="黑体" w:hAnsi="宋体" w:eastAsia="黑体" w:cs="黑体"/>
          <w:color w:val="000000"/>
          <w:kern w:val="0"/>
          <w:sz w:val="52"/>
          <w:szCs w:val="52"/>
          <w:lang w:val="en-US" w:eastAsia="zh-CN" w:bidi="ar"/>
        </w:rPr>
        <w:t>20</w:t>
      </w:r>
      <w:r>
        <w:rPr>
          <w:rFonts w:hint="eastAsia" w:ascii="黑体" w:hAnsi="宋体" w:eastAsia="黑体" w:cs="黑体"/>
          <w:color w:val="000000"/>
          <w:kern w:val="0"/>
          <w:sz w:val="52"/>
          <w:szCs w:val="52"/>
          <w:lang w:val="en-US" w:eastAsia="zh-CN" w:bidi="ar"/>
        </w:rPr>
        <w:t>20</w:t>
      </w:r>
      <w:r>
        <w:rPr>
          <w:rFonts w:ascii="黑体" w:hAnsi="宋体" w:eastAsia="黑体" w:cs="黑体"/>
          <w:color w:val="000000"/>
          <w:kern w:val="0"/>
          <w:sz w:val="52"/>
          <w:szCs w:val="52"/>
          <w:lang w:val="en-US" w:eastAsia="zh-CN" w:bidi="ar"/>
        </w:rPr>
        <w:t>年度</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三门峡市机关事务管理局部门决算</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both"/>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二</w:t>
      </w:r>
      <w:r>
        <w:rPr>
          <w:rFonts w:hint="eastAsia" w:ascii="黑体" w:hAnsi="宋体" w:eastAsia="黑体" w:cs="黑体"/>
          <w:color w:val="000000"/>
          <w:kern w:val="0"/>
          <w:sz w:val="31"/>
          <w:szCs w:val="31"/>
          <w:lang w:val="en-US" w:eastAsia="zh-CN" w:bidi="ar"/>
        </w:rPr>
        <w:t>〇二一年九月</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第一部分　　三门峡市机关事务管理局概况</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二</w:t>
      </w:r>
      <w:r>
        <w:rPr>
          <w:rFonts w:hint="eastAsia" w:ascii="黑体" w:hAnsi="黑体" w:eastAsia="黑体" w:cs="黑体"/>
          <w:b/>
          <w:bCs/>
          <w:color w:val="auto"/>
          <w:sz w:val="32"/>
          <w:szCs w:val="32"/>
          <w:highlight w:val="none"/>
        </w:rPr>
        <w:t>部分　　</w:t>
      </w:r>
      <w:r>
        <w:rPr>
          <w:rFonts w:hint="eastAsia" w:ascii="黑体" w:hAnsi="黑体" w:eastAsia="黑体" w:cs="黑体"/>
          <w:b/>
          <w:bCs/>
          <w:color w:val="auto"/>
          <w:sz w:val="32"/>
          <w:szCs w:val="32"/>
          <w:highlight w:val="none"/>
          <w:lang w:eastAsia="zh-CN"/>
        </w:rPr>
        <w:t>20</w:t>
      </w:r>
      <w:r>
        <w:rPr>
          <w:rFonts w:hint="eastAsia" w:ascii="黑体" w:hAnsi="黑体" w:eastAsia="黑体" w:cs="黑体"/>
          <w:b/>
          <w:bCs/>
          <w:color w:val="auto"/>
          <w:sz w:val="32"/>
          <w:szCs w:val="32"/>
          <w:highlight w:val="none"/>
          <w:lang w:val="en-US" w:eastAsia="zh-CN"/>
        </w:rPr>
        <w:t>20</w:t>
      </w:r>
      <w:r>
        <w:rPr>
          <w:rFonts w:hint="eastAsia" w:ascii="黑体" w:hAnsi="黑体" w:eastAsia="黑体" w:cs="黑体"/>
          <w:b/>
          <w:bCs/>
          <w:color w:val="auto"/>
          <w:sz w:val="32"/>
          <w:szCs w:val="32"/>
          <w:highlight w:val="none"/>
          <w:lang w:eastAsia="zh-CN"/>
        </w:rPr>
        <w:t>年度</w:t>
      </w:r>
      <w:r>
        <w:rPr>
          <w:rFonts w:hint="eastAsia" w:ascii="黑体" w:hAnsi="黑体" w:eastAsia="黑体" w:cs="黑体"/>
          <w:b/>
          <w:bCs/>
          <w:color w:val="auto"/>
          <w:sz w:val="32"/>
          <w:szCs w:val="32"/>
          <w:highlight w:val="none"/>
        </w:rPr>
        <w:t>部门决算表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三</w:t>
      </w:r>
      <w:r>
        <w:rPr>
          <w:rFonts w:hint="eastAsia" w:ascii="黑体" w:hAnsi="黑体" w:eastAsia="黑体" w:cs="黑体"/>
          <w:b/>
          <w:bCs/>
          <w:color w:val="auto"/>
          <w:sz w:val="32"/>
          <w:szCs w:val="32"/>
          <w:highlight w:val="none"/>
        </w:rPr>
        <w:t>部分　　</w:t>
      </w:r>
      <w:r>
        <w:rPr>
          <w:rFonts w:hint="eastAsia" w:ascii="黑体" w:hAnsi="黑体" w:eastAsia="黑体" w:cs="黑体"/>
          <w:b/>
          <w:bCs/>
          <w:color w:val="auto"/>
          <w:sz w:val="32"/>
          <w:szCs w:val="32"/>
          <w:highlight w:val="none"/>
          <w:lang w:eastAsia="zh-CN"/>
        </w:rPr>
        <w:t>20</w:t>
      </w:r>
      <w:r>
        <w:rPr>
          <w:rFonts w:hint="eastAsia" w:ascii="黑体" w:hAnsi="黑体" w:eastAsia="黑体" w:cs="黑体"/>
          <w:b/>
          <w:bCs/>
          <w:color w:val="auto"/>
          <w:sz w:val="32"/>
          <w:szCs w:val="32"/>
          <w:highlight w:val="none"/>
          <w:lang w:val="en-US" w:eastAsia="zh-CN"/>
        </w:rPr>
        <w:t>20</w:t>
      </w:r>
      <w:r>
        <w:rPr>
          <w:rFonts w:hint="eastAsia" w:ascii="黑体" w:hAnsi="黑体" w:eastAsia="黑体" w:cs="黑体"/>
          <w:b/>
          <w:bCs/>
          <w:color w:val="auto"/>
          <w:sz w:val="32"/>
          <w:szCs w:val="32"/>
          <w:highlight w:val="none"/>
          <w:lang w:eastAsia="zh-CN"/>
        </w:rPr>
        <w:t>年度</w:t>
      </w:r>
      <w:r>
        <w:rPr>
          <w:rFonts w:hint="eastAsia" w:ascii="黑体" w:hAnsi="黑体" w:eastAsia="黑体" w:cs="黑体"/>
          <w:b/>
          <w:bCs/>
          <w:color w:val="auto"/>
          <w:sz w:val="32"/>
          <w:szCs w:val="32"/>
          <w:highlight w:val="none"/>
        </w:rPr>
        <w:t>部门决算情况说明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四</w:t>
      </w:r>
      <w:r>
        <w:rPr>
          <w:rFonts w:hint="eastAsia" w:ascii="黑体" w:hAnsi="黑体" w:eastAsia="黑体" w:cs="黑体"/>
          <w:b/>
          <w:bCs/>
          <w:color w:val="auto"/>
          <w:sz w:val="32"/>
          <w:szCs w:val="32"/>
          <w:highlight w:val="none"/>
        </w:rPr>
        <w:t>部分　　名词解释</w:t>
      </w:r>
    </w:p>
    <w:p>
      <w:pPr>
        <w:jc w:val="center"/>
        <w:outlineLvl w:val="0"/>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第一部分  三门峡市机关事务管理局概况</w:t>
      </w:r>
    </w:p>
    <w:p>
      <w:pPr>
        <w:widowControl/>
        <w:jc w:val="left"/>
        <w:rPr>
          <w:rFonts w:hint="eastAsia" w:ascii="黑体" w:hAnsi="宋体" w:eastAsia="黑体" w:cs="宋体"/>
          <w:color w:val="auto"/>
          <w:kern w:val="0"/>
          <w:sz w:val="28"/>
          <w:szCs w:val="28"/>
          <w:highlight w:val="none"/>
          <w:lang w:val="en-US" w:eastAsia="zh-CN"/>
        </w:rPr>
      </w:pPr>
    </w:p>
    <w:p>
      <w:pPr>
        <w:widowControl/>
        <w:ind w:firstLine="643" w:firstLineChars="200"/>
        <w:jc w:val="left"/>
        <w:outlineLvl w:val="1"/>
        <w:rPr>
          <w:rFonts w:ascii="黑体" w:hAnsi="黑体" w:eastAsia="黑体"/>
          <w:b/>
          <w:bCs/>
          <w:sz w:val="36"/>
          <w:szCs w:val="36"/>
        </w:rPr>
      </w:pPr>
      <w:r>
        <w:rPr>
          <w:rFonts w:hint="eastAsia" w:ascii="黑体" w:hAnsi="黑体" w:eastAsia="黑体" w:cs="黑体"/>
          <w:b/>
          <w:bCs/>
          <w:color w:val="auto"/>
          <w:kern w:val="0"/>
          <w:sz w:val="32"/>
          <w:szCs w:val="32"/>
          <w:highlight w:val="none"/>
          <w:lang w:val="en-US" w:eastAsia="zh-CN"/>
        </w:rPr>
        <w:t>一、部门</w:t>
      </w:r>
      <w:r>
        <w:rPr>
          <w:rFonts w:hint="eastAsia" w:ascii="黑体" w:hAnsi="黑体" w:eastAsia="黑体" w:cs="黑体"/>
          <w:b/>
          <w:bCs/>
          <w:sz w:val="32"/>
          <w:szCs w:val="32"/>
        </w:rPr>
        <w:t>职责</w:t>
      </w:r>
    </w:p>
    <w:p>
      <w:pPr>
        <w:adjustRightInd w:val="0"/>
        <w:snapToGrid w:val="0"/>
        <w:spacing w:line="360" w:lineRule="auto"/>
        <w:ind w:firstLine="640" w:firstLineChars="200"/>
        <w:rPr>
          <w:rFonts w:eastAsia="仿宋_GB2312"/>
          <w:sz w:val="32"/>
          <w:szCs w:val="32"/>
        </w:rPr>
      </w:pPr>
      <w:r>
        <w:rPr>
          <w:rFonts w:eastAsia="仿宋_GB2312"/>
          <w:sz w:val="32"/>
          <w:szCs w:val="32"/>
        </w:rPr>
        <w:t>1、负责市直机关事业单位事务的管理、保障、服务工作；制定机关事务工作的规章制度并组织实施。</w:t>
      </w:r>
    </w:p>
    <w:p>
      <w:pPr>
        <w:adjustRightInd w:val="0"/>
        <w:snapToGrid w:val="0"/>
        <w:spacing w:line="360" w:lineRule="auto"/>
        <w:ind w:firstLine="640" w:firstLineChars="200"/>
        <w:rPr>
          <w:rFonts w:eastAsia="仿宋_GB2312"/>
          <w:sz w:val="32"/>
          <w:szCs w:val="32"/>
        </w:rPr>
      </w:pPr>
      <w:r>
        <w:rPr>
          <w:rFonts w:eastAsia="仿宋_GB2312"/>
          <w:sz w:val="32"/>
          <w:szCs w:val="32"/>
        </w:rPr>
        <w:t>2、负责市直机关事业单位公务用车管理体制改革工作；负责车辆的编制、计划、配备、更新并按规定处置，按规定管理处置车辆的资金；制定车辆管理办法并监督执行。</w:t>
      </w:r>
    </w:p>
    <w:p>
      <w:pPr>
        <w:adjustRightInd w:val="0"/>
        <w:snapToGrid w:val="0"/>
        <w:spacing w:line="360" w:lineRule="auto"/>
        <w:ind w:firstLine="640" w:firstLineChars="200"/>
        <w:rPr>
          <w:rFonts w:eastAsia="仿宋_GB2312"/>
          <w:sz w:val="32"/>
          <w:szCs w:val="32"/>
        </w:rPr>
      </w:pPr>
      <w:r>
        <w:rPr>
          <w:rFonts w:eastAsia="仿宋_GB2312"/>
          <w:sz w:val="32"/>
          <w:szCs w:val="32"/>
        </w:rPr>
        <w:t>3、按规定负责市直机关事业单位房地产管理。负责有关办公用房和办公区建设的规划编制、使用调配、出租、出借、产权纠纷调处工作，按规定承担有关房地产的产权界定、清查登记，对房地产的处置提出初审意见；负责市直机关统建项目建设及资金的监督管理；负责市直机关公务员集中住宅区的规划、征地、建设、分配、物业管理工作；指导市直机关事业 单位物业管理工作。</w:t>
      </w:r>
    </w:p>
    <w:p>
      <w:pPr>
        <w:adjustRightInd w:val="0"/>
        <w:snapToGrid w:val="0"/>
        <w:spacing w:line="360" w:lineRule="auto"/>
        <w:ind w:firstLine="640" w:firstLineChars="200"/>
        <w:rPr>
          <w:rFonts w:eastAsia="仿宋_GB2312"/>
          <w:sz w:val="32"/>
          <w:szCs w:val="32"/>
        </w:rPr>
      </w:pPr>
      <w:r>
        <w:rPr>
          <w:rFonts w:eastAsia="仿宋_GB2312"/>
          <w:sz w:val="32"/>
          <w:szCs w:val="32"/>
        </w:rPr>
        <w:t>4、负责市直公共机构节能监督管理，会同有关部门制定规划、制度并组织实施；负责推进、指导、协调和监督全市公共机构节能工作；制定公共机构既有建筑节能改造计划并组织实施，组织开展能耗统计、监测和评价考核工作。</w:t>
      </w:r>
    </w:p>
    <w:p>
      <w:pPr>
        <w:adjustRightInd w:val="0"/>
        <w:snapToGrid w:val="0"/>
        <w:spacing w:line="360" w:lineRule="auto"/>
        <w:ind w:firstLine="640" w:firstLineChars="200"/>
        <w:rPr>
          <w:rFonts w:eastAsia="仿宋_GB2312"/>
          <w:sz w:val="32"/>
          <w:szCs w:val="32"/>
        </w:rPr>
      </w:pPr>
      <w:r>
        <w:rPr>
          <w:rFonts w:eastAsia="仿宋_GB2312"/>
          <w:sz w:val="32"/>
          <w:szCs w:val="32"/>
        </w:rPr>
        <w:t>5、承办市委、市政府交办的其他事项。</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outlineLvl w:val="1"/>
        <w:rPr>
          <w:rFonts w:hint="eastAsia" w:ascii="仿宋_GB2312" w:hAnsi="仿宋_GB2312" w:eastAsia="仿宋_GB2312" w:cs="仿宋_GB2312"/>
          <w:color w:val="auto"/>
          <w:kern w:val="0"/>
          <w:sz w:val="32"/>
          <w:szCs w:val="32"/>
          <w:highlight w:val="none"/>
          <w:lang w:val="en-US" w:eastAsia="zh-CN"/>
        </w:rPr>
      </w:pPr>
    </w:p>
    <w:p>
      <w:pPr>
        <w:widowControl/>
        <w:ind w:firstLine="648" w:firstLineChars="200"/>
        <w:jc w:val="left"/>
        <w:rPr>
          <w:rFonts w:hint="eastAsia" w:eastAsia="仿宋_GB2312"/>
          <w:sz w:val="32"/>
          <w:szCs w:val="32"/>
          <w:lang w:eastAsia="zh-CN"/>
        </w:rPr>
      </w:pPr>
      <w:r>
        <w:rPr>
          <w:rFonts w:hint="eastAsia" w:ascii="仿宋_GB2312" w:hAnsi="Times New Roman" w:eastAsia="仿宋_GB2312" w:cs="仿宋_GB2312"/>
          <w:spacing w:val="2"/>
          <w:kern w:val="0"/>
          <w:sz w:val="32"/>
          <w:szCs w:val="32"/>
        </w:rPr>
        <w:t>三门峡市机关事务管理局</w:t>
      </w:r>
      <w:r>
        <w:rPr>
          <w:rFonts w:eastAsia="仿宋_GB2312"/>
          <w:sz w:val="32"/>
          <w:szCs w:val="32"/>
        </w:rPr>
        <w:t>机关</w:t>
      </w:r>
      <w:r>
        <w:rPr>
          <w:rFonts w:hint="eastAsia" w:eastAsia="仿宋_GB2312"/>
          <w:sz w:val="32"/>
          <w:szCs w:val="32"/>
        </w:rPr>
        <w:t>共有</w:t>
      </w:r>
      <w:r>
        <w:rPr>
          <w:rFonts w:hint="eastAsia" w:eastAsia="仿宋_GB2312"/>
          <w:sz w:val="32"/>
          <w:szCs w:val="32"/>
          <w:lang w:eastAsia="zh-CN"/>
        </w:rPr>
        <w:t>八</w:t>
      </w:r>
      <w:r>
        <w:rPr>
          <w:rFonts w:eastAsia="仿宋_GB2312"/>
          <w:sz w:val="32"/>
          <w:szCs w:val="32"/>
        </w:rPr>
        <w:t>个内设机构，分别是办公室、房地产管理科、车辆管理科、公共机构节能监督管理科、</w:t>
      </w:r>
      <w:r>
        <w:rPr>
          <w:rFonts w:hint="eastAsia" w:eastAsia="仿宋_GB2312"/>
          <w:sz w:val="32"/>
          <w:szCs w:val="32"/>
          <w:lang w:eastAsia="zh-CN"/>
        </w:rPr>
        <w:t>基建科、</w:t>
      </w:r>
      <w:r>
        <w:rPr>
          <w:rFonts w:hint="eastAsia" w:eastAsia="仿宋_GB2312"/>
          <w:sz w:val="32"/>
          <w:szCs w:val="32"/>
        </w:rPr>
        <w:t>人事科、</w:t>
      </w:r>
      <w:r>
        <w:rPr>
          <w:rFonts w:eastAsia="仿宋_GB2312"/>
          <w:sz w:val="32"/>
          <w:szCs w:val="32"/>
        </w:rPr>
        <w:t>财务科</w:t>
      </w:r>
      <w:r>
        <w:rPr>
          <w:rFonts w:hint="eastAsia" w:eastAsia="仿宋_GB2312"/>
          <w:sz w:val="32"/>
          <w:szCs w:val="32"/>
        </w:rPr>
        <w:t>、后勤保障科</w:t>
      </w:r>
      <w:r>
        <w:rPr>
          <w:rFonts w:eastAsia="仿宋_GB2312"/>
          <w:sz w:val="32"/>
          <w:szCs w:val="32"/>
        </w:rPr>
        <w:t>。</w:t>
      </w:r>
    </w:p>
    <w:p>
      <w:pPr>
        <w:keepNext w:val="0"/>
        <w:keepLines w:val="0"/>
        <w:widowControl/>
        <w:suppressLineNumbers w:val="0"/>
        <w:ind w:firstLine="640" w:firstLineChars="200"/>
        <w:jc w:val="left"/>
      </w:pPr>
      <w:r>
        <w:rPr>
          <w:rFonts w:hint="eastAsia" w:ascii="仿宋_GB2312" w:hAnsi="仿宋_GB2312" w:eastAsia="仿宋_GB2312" w:cs="仿宋_GB2312"/>
          <w:color w:val="auto"/>
          <w:kern w:val="0"/>
          <w:sz w:val="32"/>
          <w:szCs w:val="32"/>
          <w:highlight w:val="none"/>
          <w:lang w:val="en-US" w:eastAsia="zh-CN"/>
        </w:rPr>
        <w:t>从决算单位构成看，</w:t>
      </w:r>
      <w:r>
        <w:rPr>
          <w:rFonts w:hint="eastAsia" w:ascii="仿宋_GB2312" w:hAnsi="Times New Roman" w:eastAsia="仿宋_GB2312" w:cs="仿宋_GB2312"/>
          <w:spacing w:val="2"/>
          <w:kern w:val="0"/>
          <w:sz w:val="32"/>
          <w:szCs w:val="32"/>
        </w:rPr>
        <w:t>三门峡市机关事务管理局</w:t>
      </w:r>
      <w:r>
        <w:rPr>
          <w:rFonts w:ascii="仿宋" w:hAnsi="仿宋" w:eastAsia="仿宋" w:cs="仿宋"/>
          <w:color w:val="000000"/>
          <w:kern w:val="0"/>
          <w:sz w:val="31"/>
          <w:szCs w:val="31"/>
          <w:lang w:val="en-US" w:eastAsia="zh-CN" w:bidi="ar"/>
        </w:rPr>
        <w:t>部门决算包括：本级决算、</w:t>
      </w:r>
      <w:r>
        <w:rPr>
          <w:rFonts w:hint="eastAsia" w:ascii="仿宋" w:hAnsi="仿宋" w:eastAsia="仿宋" w:cs="仿宋"/>
          <w:color w:val="000000"/>
          <w:kern w:val="0"/>
          <w:sz w:val="31"/>
          <w:szCs w:val="31"/>
          <w:lang w:val="en-US" w:eastAsia="zh-CN" w:bidi="ar"/>
        </w:rPr>
        <w:t>预算归口管理单位决算。2020年度纳入本部门决算编制范围的单位共5个，具体是：</w:t>
      </w:r>
    </w:p>
    <w:p>
      <w:pPr>
        <w:kinsoku w:val="0"/>
        <w:overflowPunct w:val="0"/>
        <w:autoSpaceDE w:val="0"/>
        <w:autoSpaceDN w:val="0"/>
        <w:adjustRightInd w:val="0"/>
        <w:snapToGrid w:val="0"/>
        <w:spacing w:line="360" w:lineRule="auto"/>
        <w:ind w:firstLine="636" w:firstLineChars="200"/>
        <w:jc w:val="left"/>
        <w:rPr>
          <w:rFonts w:ascii="仿宋_GB2312" w:hAnsi="Times New Roman" w:eastAsia="仿宋_GB2312" w:cs="仿宋_GB2312"/>
          <w:kern w:val="0"/>
          <w:sz w:val="32"/>
          <w:szCs w:val="32"/>
        </w:rPr>
      </w:pPr>
      <w:r>
        <w:rPr>
          <w:rFonts w:ascii="仿宋_GB2312" w:hAnsi="Times New Roman" w:eastAsia="仿宋_GB2312" w:cs="仿宋_GB2312"/>
          <w:spacing w:val="-1"/>
          <w:kern w:val="0"/>
          <w:sz w:val="32"/>
          <w:szCs w:val="32"/>
        </w:rPr>
        <w:t>1</w:t>
      </w:r>
      <w:r>
        <w:rPr>
          <w:rFonts w:hint="eastAsia" w:ascii="仿宋_GB2312" w:hAnsi="Times New Roman" w:eastAsia="仿宋_GB2312" w:cs="仿宋_GB2312"/>
          <w:spacing w:val="-1"/>
          <w:kern w:val="0"/>
          <w:sz w:val="32"/>
          <w:szCs w:val="32"/>
        </w:rPr>
        <w:t>．</w:t>
      </w:r>
      <w:r>
        <w:rPr>
          <w:rFonts w:hint="eastAsia" w:ascii="仿宋_GB2312" w:hAnsi="Times New Roman" w:eastAsia="仿宋_GB2312" w:cs="仿宋_GB2312"/>
          <w:spacing w:val="2"/>
          <w:kern w:val="0"/>
          <w:sz w:val="32"/>
          <w:szCs w:val="32"/>
        </w:rPr>
        <w:t>三门峡市机关事务管理局</w:t>
      </w:r>
      <w:r>
        <w:rPr>
          <w:rFonts w:hint="eastAsia" w:ascii="仿宋_GB2312" w:hAnsi="Times New Roman" w:eastAsia="仿宋_GB2312" w:cs="仿宋_GB2312"/>
          <w:spacing w:val="-1"/>
          <w:kern w:val="0"/>
          <w:sz w:val="32"/>
          <w:szCs w:val="32"/>
        </w:rPr>
        <w:t>机关本级</w:t>
      </w:r>
    </w:p>
    <w:p>
      <w:pPr>
        <w:kinsoku w:val="0"/>
        <w:overflowPunct w:val="0"/>
        <w:autoSpaceDE w:val="0"/>
        <w:autoSpaceDN w:val="0"/>
        <w:adjustRightInd w:val="0"/>
        <w:snapToGrid w:val="0"/>
        <w:spacing w:line="360" w:lineRule="auto"/>
        <w:ind w:firstLine="636" w:firstLineChars="200"/>
        <w:jc w:val="left"/>
        <w:rPr>
          <w:rFonts w:hint="eastAsia" w:ascii="仿宋_GB2312" w:hAnsi="Times New Roman" w:eastAsia="仿宋_GB2312" w:cs="仿宋_GB2312"/>
          <w:spacing w:val="-1"/>
          <w:kern w:val="0"/>
          <w:sz w:val="32"/>
          <w:szCs w:val="32"/>
        </w:rPr>
      </w:pPr>
      <w:r>
        <w:rPr>
          <w:rFonts w:ascii="仿宋_GB2312" w:hAnsi="Times New Roman" w:eastAsia="仿宋_GB2312" w:cs="仿宋_GB2312"/>
          <w:spacing w:val="-1"/>
          <w:kern w:val="0"/>
          <w:sz w:val="32"/>
          <w:szCs w:val="32"/>
        </w:rPr>
        <w:t>2</w:t>
      </w:r>
      <w:r>
        <w:rPr>
          <w:rFonts w:hint="eastAsia" w:ascii="仿宋_GB2312" w:hAnsi="Times New Roman" w:eastAsia="仿宋_GB2312" w:cs="仿宋_GB2312"/>
          <w:spacing w:val="-1"/>
          <w:kern w:val="0"/>
          <w:sz w:val="32"/>
          <w:szCs w:val="32"/>
        </w:rPr>
        <w:t>．</w:t>
      </w:r>
      <w:r>
        <w:rPr>
          <w:rFonts w:eastAsia="仿宋_GB2312"/>
          <w:sz w:val="32"/>
          <w:szCs w:val="32"/>
        </w:rPr>
        <w:t>三门峡国际文博城管理处</w:t>
      </w:r>
    </w:p>
    <w:p>
      <w:pPr>
        <w:kinsoku w:val="0"/>
        <w:overflowPunct w:val="0"/>
        <w:autoSpaceDE w:val="0"/>
        <w:autoSpaceDN w:val="0"/>
        <w:adjustRightInd w:val="0"/>
        <w:snapToGrid w:val="0"/>
        <w:spacing w:line="360" w:lineRule="auto"/>
        <w:ind w:firstLine="636" w:firstLineChars="200"/>
        <w:jc w:val="left"/>
        <w:rPr>
          <w:rFonts w:hint="eastAsia"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rPr>
        <w:t>3．</w:t>
      </w:r>
      <w:r>
        <w:rPr>
          <w:rFonts w:eastAsia="仿宋_GB2312"/>
          <w:sz w:val="32"/>
          <w:szCs w:val="32"/>
        </w:rPr>
        <w:t>三门峡市市直房产管理处</w:t>
      </w:r>
    </w:p>
    <w:p>
      <w:pPr>
        <w:kinsoku w:val="0"/>
        <w:overflowPunct w:val="0"/>
        <w:autoSpaceDE w:val="0"/>
        <w:autoSpaceDN w:val="0"/>
        <w:adjustRightInd w:val="0"/>
        <w:snapToGrid w:val="0"/>
        <w:spacing w:line="360" w:lineRule="auto"/>
        <w:ind w:firstLine="636" w:firstLineChars="200"/>
        <w:jc w:val="left"/>
        <w:rPr>
          <w:rFonts w:eastAsia="仿宋_GB2312"/>
          <w:sz w:val="32"/>
          <w:szCs w:val="32"/>
        </w:rPr>
      </w:pPr>
      <w:r>
        <w:rPr>
          <w:rFonts w:hint="eastAsia" w:ascii="仿宋_GB2312" w:hAnsi="Times New Roman" w:eastAsia="仿宋_GB2312" w:cs="仿宋_GB2312"/>
          <w:spacing w:val="-1"/>
          <w:kern w:val="0"/>
          <w:sz w:val="32"/>
          <w:szCs w:val="32"/>
        </w:rPr>
        <w:t>4．</w:t>
      </w:r>
      <w:r>
        <w:rPr>
          <w:rFonts w:eastAsia="仿宋_GB2312"/>
          <w:sz w:val="32"/>
          <w:szCs w:val="32"/>
        </w:rPr>
        <w:t>三门峡市直机关食堂</w:t>
      </w:r>
    </w:p>
    <w:p>
      <w:pPr>
        <w:kinsoku w:val="0"/>
        <w:overflowPunct w:val="0"/>
        <w:autoSpaceDE w:val="0"/>
        <w:autoSpaceDN w:val="0"/>
        <w:adjustRightInd w:val="0"/>
        <w:snapToGrid w:val="0"/>
        <w:spacing w:line="360" w:lineRule="auto"/>
        <w:ind w:firstLine="636" w:firstLineChars="200"/>
        <w:jc w:val="left"/>
        <w:rPr>
          <w:rFonts w:hint="eastAsia" w:eastAsia="仿宋_GB2312"/>
          <w:sz w:val="32"/>
          <w:szCs w:val="32"/>
          <w:lang w:val="en-US" w:eastAsia="zh-CN"/>
        </w:rPr>
      </w:pPr>
      <w:r>
        <w:rPr>
          <w:rFonts w:hint="eastAsia" w:ascii="仿宋_GB2312" w:hAnsi="Times New Roman" w:eastAsia="仿宋_GB2312" w:cs="仿宋_GB2312"/>
          <w:spacing w:val="-1"/>
          <w:kern w:val="0"/>
          <w:sz w:val="32"/>
          <w:szCs w:val="32"/>
          <w:lang w:val="en-US" w:eastAsia="zh-CN"/>
        </w:rPr>
        <w:t>5</w:t>
      </w:r>
      <w:r>
        <w:rPr>
          <w:rFonts w:hint="eastAsia" w:ascii="仿宋_GB2312" w:hAnsi="Times New Roman" w:eastAsia="仿宋_GB2312" w:cs="仿宋_GB2312"/>
          <w:spacing w:val="-1"/>
          <w:kern w:val="0"/>
          <w:sz w:val="32"/>
          <w:szCs w:val="32"/>
        </w:rPr>
        <w:t>．</w:t>
      </w:r>
      <w:r>
        <w:rPr>
          <w:rFonts w:eastAsia="仿宋_GB2312"/>
          <w:sz w:val="32"/>
          <w:szCs w:val="32"/>
        </w:rPr>
        <w:t>三门峡市</w:t>
      </w:r>
      <w:r>
        <w:rPr>
          <w:rFonts w:hint="eastAsia" w:eastAsia="仿宋_GB2312"/>
          <w:sz w:val="32"/>
          <w:szCs w:val="32"/>
          <w:lang w:eastAsia="zh-CN"/>
        </w:rPr>
        <w:t>公务用车服务中心</w:t>
      </w:r>
    </w:p>
    <w:p>
      <w:pPr>
        <w:widowControl/>
        <w:ind w:firstLine="560" w:firstLineChars="200"/>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一、收入支出决算总表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二、收入决算表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三、支出决算表</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四、财政拨款收入支出决算总表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五、一般公共预算财政拨款支出决算表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六、一般公共预算财政拨款基本支出决算表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七、一般公共预算财政拨款“三公”经费支出决算表 </w:t>
      </w:r>
    </w:p>
    <w:p>
      <w:pPr>
        <w:keepNext w:val="0"/>
        <w:keepLines w:val="0"/>
        <w:pageBreakBefore w:val="0"/>
        <w:kinsoku w:val="0"/>
        <w:wordWrap/>
        <w:overflowPunct w:val="0"/>
        <w:topLinePunct w:val="0"/>
        <w:autoSpaceDE/>
        <w:autoSpaceDN/>
        <w:bidi w:val="0"/>
        <w:adjustRightInd w:val="0"/>
        <w:snapToGrid w:val="0"/>
        <w:spacing w:line="600" w:lineRule="exact"/>
        <w:ind w:right="51"/>
        <w:jc w:val="left"/>
        <w:textAlignment w:val="auto"/>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keepNext w:val="0"/>
        <w:keepLines w:val="0"/>
        <w:pageBreakBefore w:val="0"/>
        <w:widowControl/>
        <w:wordWrap/>
        <w:topLinePunct w:val="0"/>
        <w:autoSpaceDE/>
        <w:autoSpaceDN/>
        <w:bidi w:val="0"/>
        <w:spacing w:line="600" w:lineRule="exact"/>
        <w:jc w:val="left"/>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wordWrap/>
        <w:topLinePunct w:val="0"/>
        <w:autoSpaceDE/>
        <w:autoSpaceDN/>
        <w:bidi w:val="0"/>
        <w:spacing w:line="600" w:lineRule="exact"/>
        <w:jc w:val="left"/>
        <w:textAlignment w:val="auto"/>
        <w:rPr>
          <w:rFonts w:hint="default" w:ascii="黑体" w:hAnsi="黑体" w:eastAsia="黑体" w:cs="黑体"/>
          <w:color w:val="auto"/>
          <w:kern w:val="0"/>
          <w:sz w:val="32"/>
          <w:szCs w:val="32"/>
          <w:highlight w:val="none"/>
          <w:lang w:val="en-US" w:eastAsia="zh-CN"/>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color w:val="auto"/>
          <w:kern w:val="0"/>
          <w:sz w:val="32"/>
          <w:szCs w:val="32"/>
          <w:highlight w:val="none"/>
          <w:lang w:val="en-US" w:eastAsia="zh-CN"/>
        </w:rPr>
        <w:t>（附件中可查看）</w:t>
      </w: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eastAsia="zh-CN"/>
        </w:rPr>
        <w:t>年度收、支总计均为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207.49</w:t>
      </w:r>
      <w:r>
        <w:rPr>
          <w:rFonts w:hint="eastAsia" w:ascii="仿宋_GB2312" w:hAnsi="仿宋_GB2312" w:eastAsia="仿宋_GB2312" w:cs="仿宋_GB2312"/>
          <w:color w:val="auto"/>
          <w:sz w:val="32"/>
          <w:szCs w:val="32"/>
          <w:highlight w:val="none"/>
          <w:lang w:val="zh-CN" w:eastAsia="zh-CN"/>
        </w:rPr>
        <w:t>万元。与上年度相比，收、支总计各减少4,473.38万元，下降</w:t>
      </w:r>
      <w:r>
        <w:rPr>
          <w:rFonts w:hint="eastAsia" w:ascii="仿宋_GB2312" w:hAnsi="仿宋_GB2312" w:eastAsia="仿宋_GB2312" w:cs="仿宋_GB2312"/>
          <w:color w:val="auto"/>
          <w:sz w:val="32"/>
          <w:szCs w:val="32"/>
          <w:highlight w:val="none"/>
          <w:lang w:val="en-US" w:eastAsia="zh-CN"/>
        </w:rPr>
        <w:t>46.21</w:t>
      </w:r>
      <w:r>
        <w:rPr>
          <w:rFonts w:hint="eastAsia" w:ascii="仿宋_GB2312" w:hAnsi="仿宋_GB2312" w:eastAsia="仿宋_GB2312" w:cs="仿宋_GB2312"/>
          <w:color w:val="auto"/>
          <w:sz w:val="32"/>
          <w:szCs w:val="32"/>
          <w:highlight w:val="none"/>
          <w:lang w:val="zh-CN" w:eastAsia="zh-CN"/>
        </w:rPr>
        <w:t>%。主要原因</w:t>
      </w:r>
      <w:r>
        <w:rPr>
          <w:rFonts w:hint="eastAsia" w:ascii="仿宋_GB2312" w:hAnsi="仿宋_GB2312" w:eastAsia="仿宋_GB2312" w:cs="仿宋_GB2312"/>
          <w:color w:val="auto"/>
          <w:sz w:val="32"/>
          <w:szCs w:val="32"/>
          <w:highlight w:val="none"/>
          <w:lang w:val="en-US" w:eastAsia="zh-CN"/>
        </w:rPr>
        <w:t>是文体中心及传媒大厦建设项目于2019年按进度支付工程款，2020年无此项支出,故2020年预算收入和支出相应减少。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2020年度收入合计5,052.35万元，其中：财政拨款收入5,051.46万元，占99.98%；其他收入0.88万元，占0</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2020年度支出合计4,798.67万元，其中：基本支出1,171.86万元，占24.42%；项目支出3,626.81万元，占75.58%。</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2020年度财政拨款收、支总计均为5,194.46万元。与上年度相比，财政拨款收、支总计各减少4,473.78万元，下降</w:t>
      </w:r>
      <w:r>
        <w:rPr>
          <w:rFonts w:hint="eastAsia" w:ascii="仿宋_GB2312" w:hAnsi="仿宋_GB2312" w:eastAsia="仿宋_GB2312" w:cs="仿宋_GB2312"/>
          <w:color w:val="auto"/>
          <w:sz w:val="32"/>
          <w:szCs w:val="32"/>
          <w:highlight w:val="none"/>
          <w:lang w:val="en-US" w:eastAsia="zh-CN"/>
        </w:rPr>
        <w:t>46.27</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文体中心及传媒大厦建设项目于2019年按进度支付工程款，2020年无此项支出,故2020年预算收入和支出相应减少。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2020年度一般公共预算财政拨款支出4,798.67万元，占支出合计的100%。与上年度相比，一般公共预算财政拨款支出减少4,726.57万元，下降49.62%。主要原因是</w:t>
      </w:r>
      <w:r>
        <w:rPr>
          <w:rFonts w:hint="eastAsia" w:ascii="仿宋_GB2312" w:hAnsi="仿宋_GB2312" w:eastAsia="仿宋_GB2312" w:cs="仿宋_GB2312"/>
          <w:color w:val="auto"/>
          <w:sz w:val="32"/>
          <w:szCs w:val="32"/>
          <w:highlight w:val="none"/>
          <w:lang w:val="en-US" w:eastAsia="zh-CN"/>
        </w:rPr>
        <w:t>2019年按进度支付文体中心及传媒大厦建设项目工程款，2020年度无此项支出</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2020年度一般公共预算财政拨款支出4,798.67万元，主要用于以下方面：</w:t>
      </w:r>
      <w:r>
        <w:rPr>
          <w:rFonts w:hint="eastAsia" w:ascii="仿宋_GB2312" w:hAnsi="仿宋_GB2312" w:eastAsia="仿宋_GB2312" w:cs="仿宋_GB2312"/>
          <w:color w:val="auto"/>
          <w:sz w:val="32"/>
          <w:szCs w:val="32"/>
          <w:highlight w:val="none"/>
          <w:lang w:val="en-US" w:eastAsia="zh-CN"/>
        </w:rPr>
        <w:t>一般公共服务（类）支出4</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247.88万元，占88.52%；教育（类）支出49.50万元，占1.03%；科学技术（类）支出61.00万元，占1.27%；文化旅游体育与传媒（类）支出253.00万元，占5.27%；社会保障和就业（类）支出41.07万元，占0.86%；卫生健康（类）支出26.10万元，占0.54%；节能环保（类）支出30.00万元，0.63%；城乡社区（类）支出18.46万元，占0.38%；农林水支出19.38万元，占0.40%；商业服务业等（类）支出26.32万元，占0.55%；住房保障（类）支出25.97万元，占0.54%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2020年度一般公共预算财政拨款支出年初预算为3,468.7</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zh-CN" w:eastAsia="zh-CN"/>
        </w:rPr>
        <w:t>万元，支出决算为4,798.67万元，完成年初预算的138.34%。其中：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1.一般公共服务（类）政府办公厅（室）及相关机构事务（款）行政运行（项）。</w:t>
      </w:r>
      <w:r>
        <w:rPr>
          <w:rFonts w:hint="eastAsia" w:ascii="仿宋_GB2312" w:hAnsi="仿宋_GB2312" w:eastAsia="仿宋_GB2312" w:cs="仿宋_GB2312"/>
          <w:color w:val="auto"/>
          <w:sz w:val="32"/>
          <w:szCs w:val="32"/>
          <w:highlight w:val="none"/>
          <w:lang w:val="en-US" w:eastAsia="zh-CN"/>
        </w:rPr>
        <w:t>年初预算为571.40万元，支出决算为708.84万元，增加137.44万元，完成年初预算的124.05%。决算数大于预算数的主要原因是工资和福利支出增加。</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2.一般公共服务（类）政府办公厅（室）及相关机构事务（款）机关服务（项）。</w:t>
      </w:r>
      <w:r>
        <w:rPr>
          <w:rFonts w:hint="eastAsia" w:ascii="仿宋_GB2312" w:hAnsi="仿宋_GB2312" w:eastAsia="仿宋_GB2312" w:cs="仿宋_GB2312"/>
          <w:color w:val="auto"/>
          <w:sz w:val="32"/>
          <w:szCs w:val="32"/>
          <w:highlight w:val="none"/>
          <w:lang w:val="en-US" w:eastAsia="zh-CN"/>
        </w:rPr>
        <w:t>年初预算为341.80万元，支出决算为465.08万元，增加123.28万元，完成年初预算的136.07%。决算数大于预算数的主要原因是追加市政府办公楼基础设施改造维修及机关食堂油烟净化设备和桌椅更换等经费。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3.一般公共服务（类）政府办公厅（室）及相关机构事务（款）事业运行（项）。</w:t>
      </w:r>
      <w:r>
        <w:rPr>
          <w:rFonts w:hint="eastAsia" w:ascii="仿宋_GB2312" w:hAnsi="仿宋_GB2312" w:eastAsia="仿宋_GB2312" w:cs="仿宋_GB2312"/>
          <w:color w:val="auto"/>
          <w:sz w:val="32"/>
          <w:szCs w:val="32"/>
          <w:highlight w:val="none"/>
          <w:lang w:val="en-US" w:eastAsia="zh-CN"/>
        </w:rPr>
        <w:t>年初预算为289.00万元，支出决算为320.14万元，增加31.14万元，完成年初预算的110.78%。决算数大于预算数的主要原因是追加在职人员正常晋级晋档、工资调标等人员经费。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4.一般公共服务（类）政府办公厅（室）及相关机构事务（款）其他政府办公厅（室）及相关机构事务支出（项）。</w:t>
      </w:r>
      <w:r>
        <w:rPr>
          <w:rFonts w:hint="eastAsia" w:ascii="仿宋_GB2312" w:hAnsi="仿宋_GB2312" w:eastAsia="仿宋_GB2312" w:cs="仿宋_GB2312"/>
          <w:color w:val="auto"/>
          <w:sz w:val="32"/>
          <w:szCs w:val="32"/>
          <w:highlight w:val="none"/>
          <w:lang w:val="en-US" w:eastAsia="zh-CN"/>
        </w:rPr>
        <w:t>年初预算为2043.50万元，支出决算为2678.82万元，增加635.32万元，完成年初预算的131.09%。决算数大于预算数的主要原因是追加市直行政事业单位办公用房普查清理、市人大、市政协办公楼及二号院监控设备和市委办公楼消防管道维修改造等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5.一般公共服务（类）商贸事务（款）招商引资（项）。</w:t>
      </w:r>
      <w:r>
        <w:rPr>
          <w:rFonts w:hint="eastAsia" w:ascii="仿宋_GB2312" w:hAnsi="仿宋_GB2312" w:eastAsia="仿宋_GB2312" w:cs="仿宋_GB2312"/>
          <w:color w:val="auto"/>
          <w:sz w:val="32"/>
          <w:szCs w:val="32"/>
          <w:highlight w:val="none"/>
          <w:lang w:val="en-US" w:eastAsia="zh-CN"/>
        </w:rPr>
        <w:t>该科目年初无财政拨款预算，支出决算为20.00万元，决算数大于预算数的主要原因是追加会展工作经费。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6.一般公共服务（类）党委办公厅（室）及相关机构事务（款）一般行政管理事务（项）。</w:t>
      </w:r>
      <w:r>
        <w:rPr>
          <w:rFonts w:hint="eastAsia" w:ascii="仿宋_GB2312" w:hAnsi="仿宋_GB2312" w:eastAsia="仿宋_GB2312" w:cs="仿宋_GB2312"/>
          <w:color w:val="auto"/>
          <w:sz w:val="32"/>
          <w:szCs w:val="32"/>
          <w:highlight w:val="none"/>
          <w:lang w:val="en-US" w:eastAsia="zh-CN"/>
        </w:rPr>
        <w:t>该科目年初无财政拨款预算，支出决算为55.00万元，决算数大于预算数的主要原因是追加市委二号院热水系统更换电锅炉及管网设施经费。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7.教育支出（类）职业教育（款）高等职业教育（项）。</w:t>
      </w:r>
      <w:r>
        <w:rPr>
          <w:rFonts w:hint="eastAsia" w:ascii="仿宋_GB2312" w:hAnsi="仿宋_GB2312" w:eastAsia="仿宋_GB2312" w:cs="仿宋_GB2312"/>
          <w:color w:val="auto"/>
          <w:sz w:val="32"/>
          <w:szCs w:val="32"/>
          <w:highlight w:val="none"/>
          <w:lang w:val="en-US" w:eastAsia="zh-CN"/>
        </w:rPr>
        <w:t>该科目年初无财政拨款预算，支出决算为49.50万元，决算数大于预算数的主要原因是追加社会管理学院内装项目工程款。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8.科学技术支出（类）科学技术普及（款）科技馆站（项）。</w:t>
      </w:r>
      <w:r>
        <w:rPr>
          <w:rFonts w:hint="eastAsia" w:ascii="仿宋_GB2312" w:hAnsi="仿宋_GB2312" w:eastAsia="仿宋_GB2312" w:cs="仿宋_GB2312"/>
          <w:color w:val="auto"/>
          <w:sz w:val="32"/>
          <w:szCs w:val="32"/>
          <w:highlight w:val="none"/>
          <w:lang w:val="en-US" w:eastAsia="zh-CN"/>
        </w:rPr>
        <w:t>该科目年初无财政拨款预算，支出决算为61.00万元，决算数大于预算数的主要原因是追加义务教育均衡发展引导及课改实验补助资金。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9.文化旅游体育与媒体支出（类）文化和旅游（款）群众文化（项）。</w:t>
      </w:r>
      <w:r>
        <w:rPr>
          <w:rFonts w:hint="eastAsia" w:ascii="仿宋_GB2312" w:hAnsi="仿宋_GB2312" w:eastAsia="仿宋_GB2312" w:cs="仿宋_GB2312"/>
          <w:color w:val="auto"/>
          <w:sz w:val="32"/>
          <w:szCs w:val="32"/>
          <w:highlight w:val="none"/>
          <w:lang w:val="en-US" w:eastAsia="zh-CN"/>
        </w:rPr>
        <w:t>年初预算为50.00万元，支出决算为50.00万元，完成年初预算的100%。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10.文化旅游体育与媒体支出（类）文化和旅游（款）其他文化和旅游支出（项）。</w:t>
      </w:r>
      <w:r>
        <w:rPr>
          <w:rFonts w:hint="eastAsia" w:ascii="仿宋_GB2312" w:hAnsi="仿宋_GB2312" w:eastAsia="仿宋_GB2312" w:cs="仿宋_GB2312"/>
          <w:color w:val="auto"/>
          <w:sz w:val="32"/>
          <w:szCs w:val="32"/>
          <w:highlight w:val="none"/>
          <w:lang w:val="en-US" w:eastAsia="zh-CN"/>
        </w:rPr>
        <w:t>年初预算为93.00万元，支出决算为203.00万元，增加110.00万元，完成年初预算的218.28%。决算数大于预算数的主要原因是追加群众艺术馆所需设备、家具等购置费。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11.社会保障和就业支出（类）行政事业单位养老支出（款）行政单位离退休（项）。</w:t>
      </w:r>
      <w:r>
        <w:rPr>
          <w:rFonts w:hint="eastAsia" w:ascii="仿宋_GB2312" w:hAnsi="仿宋_GB2312" w:eastAsia="仿宋_GB2312" w:cs="仿宋_GB2312"/>
          <w:color w:val="auto"/>
          <w:sz w:val="32"/>
          <w:szCs w:val="32"/>
          <w:highlight w:val="none"/>
          <w:lang w:val="en-US" w:eastAsia="zh-CN"/>
        </w:rPr>
        <w:t>年初预算为7.10万元，支出决算为7.19万元，增加0.09万元，完成年初预算的101.27%。决算数大于预算数的主要原因是据实发放退休人员经费，与预算稍有偏差。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12.社会保障和就业支出（类）行政事业单位养老支出（款）事业单位离退休（项）</w:t>
      </w:r>
      <w:r>
        <w:rPr>
          <w:rFonts w:hint="eastAsia" w:ascii="仿宋_GB2312" w:hAnsi="仿宋_GB2312" w:eastAsia="仿宋_GB2312" w:cs="仿宋_GB2312"/>
          <w:color w:val="auto"/>
          <w:sz w:val="32"/>
          <w:szCs w:val="32"/>
          <w:highlight w:val="none"/>
          <w:lang w:val="en-US" w:eastAsia="zh-CN"/>
        </w:rPr>
        <w:t>。年初预算为0.33万元，支出决算为0.34万元，增加0.01万元，完成年初预算的103.03%。决算数大于预算数的主要原因是据实发放退休人员经费，与预算稍有偏差。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val="en-US" w:eastAsia="zh-CN"/>
        </w:rPr>
        <w:t>年初预算为32.57万元，支出决算为33.54万元，增加0.97万元，完成年初预算的102.98%。决算数大于预算数的主要原因是以实际登记缴费人员据实缴纳基本养老保险。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14.卫生健康支出（类）行政事业单位医疗（款）行政单位医疗（项）。</w:t>
      </w:r>
      <w:r>
        <w:rPr>
          <w:rFonts w:hint="eastAsia" w:ascii="仿宋_GB2312" w:hAnsi="仿宋_GB2312" w:eastAsia="仿宋_GB2312" w:cs="仿宋_GB2312"/>
          <w:color w:val="auto"/>
          <w:sz w:val="32"/>
          <w:szCs w:val="32"/>
          <w:highlight w:val="none"/>
          <w:lang w:val="en-US" w:eastAsia="zh-CN"/>
        </w:rPr>
        <w:t>年初预算为11.28万元，支出决算为16.03万元，增加4.75万元，完成年初预算的142.11%。决算数大于预算数的主要原因是人员变动，以实际参保人员结算医疗保险费。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15.卫生健康支出（类）行政事业单位医疗（款）事业单位医疗（项）。</w:t>
      </w:r>
      <w:r>
        <w:rPr>
          <w:rFonts w:hint="eastAsia" w:ascii="仿宋_GB2312" w:hAnsi="仿宋_GB2312" w:eastAsia="仿宋_GB2312" w:cs="仿宋_GB2312"/>
          <w:color w:val="auto"/>
          <w:sz w:val="32"/>
          <w:szCs w:val="32"/>
          <w:highlight w:val="none"/>
          <w:lang w:val="en-US" w:eastAsia="zh-CN"/>
        </w:rPr>
        <w:t>年初预算为8.72万元，支出决算为10.08万元，增加1.36万元，完成年初预算的115.60%。决算数大于预算数的主要原因是人员调整，以实际参保人员结算医疗保险费。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16.节能环保支出（类）环境保护管理事务（款）其他环境保护管理事务支出（项）。</w:t>
      </w:r>
      <w:r>
        <w:rPr>
          <w:rFonts w:hint="eastAsia" w:ascii="仿宋_GB2312" w:hAnsi="仿宋_GB2312" w:eastAsia="仿宋_GB2312" w:cs="仿宋_GB2312"/>
          <w:color w:val="auto"/>
          <w:sz w:val="32"/>
          <w:szCs w:val="32"/>
          <w:highlight w:val="none"/>
          <w:lang w:val="en-US" w:eastAsia="zh-CN"/>
        </w:rPr>
        <w:t>该科目年初无财政拨款预算，支出决算为30.00万元，决算数大于预算数的主要原因是追加老污水处理厂环境整治经费。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17.城乡社区支出（类）城乡社区公共设施（款）其他城乡社区公共设施支出（项）。</w:t>
      </w:r>
      <w:r>
        <w:rPr>
          <w:rFonts w:hint="eastAsia" w:ascii="仿宋_GB2312" w:hAnsi="仿宋_GB2312" w:eastAsia="仿宋_GB2312" w:cs="仿宋_GB2312"/>
          <w:color w:val="auto"/>
          <w:sz w:val="32"/>
          <w:szCs w:val="32"/>
          <w:highlight w:val="none"/>
          <w:lang w:val="en-US" w:eastAsia="zh-CN"/>
        </w:rPr>
        <w:t>该科目年初无财政拨款预算，支出决算为18.45万元，决算数大于预算数的主要原因是追加人才工作服务中心办公楼升级改造项目工程款。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18.农林水支出（类）扶贫（款）其他扶贫支出（项）。</w:t>
      </w:r>
      <w:r>
        <w:rPr>
          <w:rFonts w:hint="eastAsia" w:ascii="仿宋_GB2312" w:hAnsi="仿宋_GB2312" w:eastAsia="仿宋_GB2312" w:cs="仿宋_GB2312"/>
          <w:color w:val="auto"/>
          <w:sz w:val="32"/>
          <w:szCs w:val="32"/>
          <w:highlight w:val="none"/>
          <w:lang w:val="en-US" w:eastAsia="zh-CN"/>
        </w:rPr>
        <w:t>该科目年初无财政拨款预算，支出决算为19.38万元，决算数大于预算数的主要原因是追加扶贫第一书记及驻村工作队员的补贴及工作经费。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19.商业服务业等支出（类）其他商业服务业等支出（款）其他商业服务业等支出（项）。</w:t>
      </w:r>
      <w:r>
        <w:rPr>
          <w:rFonts w:hint="eastAsia" w:ascii="仿宋_GB2312" w:hAnsi="仿宋_GB2312" w:eastAsia="仿宋_GB2312" w:cs="仿宋_GB2312"/>
          <w:color w:val="auto"/>
          <w:sz w:val="32"/>
          <w:szCs w:val="32"/>
          <w:highlight w:val="none"/>
          <w:lang w:val="en-US" w:eastAsia="zh-CN"/>
        </w:rPr>
        <w:t>该科目年初无财政拨款预算，支出决算为26.31万元，决算数大于预算数的主要原因是追加展会场地补助资金。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20.住房保障支出（类）住房改革支出（款）住房公积金（项）。</w:t>
      </w:r>
      <w:r>
        <w:rPr>
          <w:rFonts w:hint="eastAsia" w:ascii="仿宋_GB2312" w:hAnsi="仿宋_GB2312" w:eastAsia="仿宋_GB2312" w:cs="仿宋_GB2312"/>
          <w:color w:val="auto"/>
          <w:sz w:val="32"/>
          <w:szCs w:val="32"/>
          <w:highlight w:val="none"/>
          <w:lang w:val="en-US" w:eastAsia="zh-CN"/>
        </w:rPr>
        <w:t>年初预算为20.00万元，支出决算为25.97万元，增加5.97万元，完成年初预算的129.85%。决算数大于预算数的主要原因</w:t>
      </w:r>
      <w:bookmarkStart w:id="0" w:name="_GoBack"/>
      <w:bookmarkEnd w:id="0"/>
      <w:r>
        <w:rPr>
          <w:rFonts w:hint="eastAsia" w:ascii="仿宋_GB2312" w:hAnsi="仿宋_GB2312" w:eastAsia="仿宋_GB2312" w:cs="仿宋_GB2312"/>
          <w:color w:val="auto"/>
          <w:sz w:val="32"/>
          <w:szCs w:val="32"/>
          <w:highlight w:val="none"/>
          <w:lang w:val="en-US" w:eastAsia="zh-CN"/>
        </w:rPr>
        <w:t>是单位人员变动，住房公积金以实际缴纳人员结算。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一般公共预算财政拨款基本支出1,171.86万元。其中：人员经费815.03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356.83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zh-CN" w:eastAsia="zh-CN"/>
        </w:rPr>
      </w:pPr>
      <w:r>
        <w:rPr>
          <w:rFonts w:hint="eastAsia" w:ascii="楷体_GB2312" w:hAnsi="楷体_GB2312" w:eastAsia="楷体_GB2312" w:cs="楷体_GB2312"/>
          <w:b/>
          <w:bCs/>
          <w:color w:val="auto"/>
          <w:sz w:val="32"/>
          <w:szCs w:val="32"/>
          <w:highlight w:val="none"/>
          <w:lang w:val="zh-CN" w:eastAsia="zh-CN"/>
        </w:rPr>
        <w:t>（一）</w:t>
      </w:r>
      <w:r>
        <w:rPr>
          <w:rFonts w:hint="default" w:ascii="楷体_GB2312" w:hAnsi="楷体_GB2312" w:eastAsia="楷体_GB2312" w:cs="楷体_GB2312"/>
          <w:b/>
          <w:bCs/>
          <w:color w:val="auto"/>
          <w:sz w:val="32"/>
          <w:szCs w:val="32"/>
          <w:highlight w:val="none"/>
          <w:lang w:val="zh-CN" w:eastAsia="zh-CN"/>
        </w:rPr>
        <w:t>“</w:t>
      </w:r>
      <w:r>
        <w:rPr>
          <w:rFonts w:hint="eastAsia" w:ascii="楷体_GB2312" w:hAnsi="楷体_GB2312" w:eastAsia="楷体_GB2312" w:cs="楷体_GB2312"/>
          <w:b/>
          <w:bCs/>
          <w:color w:val="auto"/>
          <w:sz w:val="32"/>
          <w:szCs w:val="32"/>
          <w:highlight w:val="none"/>
          <w:lang w:val="zh-CN" w:eastAsia="zh-CN"/>
        </w:rPr>
        <w:t>三公</w:t>
      </w:r>
      <w:r>
        <w:rPr>
          <w:rFonts w:hint="default" w:ascii="楷体_GB2312" w:hAnsi="楷体_GB2312" w:eastAsia="楷体_GB2312" w:cs="楷体_GB2312"/>
          <w:b/>
          <w:bCs/>
          <w:color w:val="auto"/>
          <w:sz w:val="32"/>
          <w:szCs w:val="32"/>
          <w:highlight w:val="none"/>
          <w:lang w:val="zh-CN" w:eastAsia="zh-CN"/>
        </w:rPr>
        <w:t>”</w:t>
      </w:r>
      <w:r>
        <w:rPr>
          <w:rFonts w:hint="eastAsia" w:ascii="楷体_GB2312" w:hAnsi="楷体_GB2312" w:eastAsia="楷体_GB2312" w:cs="楷体_GB2312"/>
          <w:b/>
          <w:bCs/>
          <w:color w:val="auto"/>
          <w:sz w:val="32"/>
          <w:szCs w:val="32"/>
          <w:highlight w:val="none"/>
          <w:lang w:val="zh-CN" w:eastAsia="zh-CN"/>
        </w:rPr>
        <w:t>经费财政拨款支出决算总体情况说明。</w:t>
      </w:r>
    </w:p>
    <w:p>
      <w:pPr>
        <w:ind w:firstLine="64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经费财政拨款支出预算为2.3万元，支出决算为0.27万元，完成预算的11.7</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%。2020年度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经费支出决算数与预算数存在差异的主要原因是受新冠肺炎疫情影响，本着厉行勤俭节约的原则，减少公务接待活动。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zh-CN" w:eastAsia="zh-CN"/>
        </w:rPr>
      </w:pPr>
      <w:r>
        <w:rPr>
          <w:rFonts w:hint="eastAsia" w:ascii="楷体_GB2312" w:hAnsi="楷体_GB2312" w:eastAsia="楷体_GB2312" w:cs="楷体_GB2312"/>
          <w:b/>
          <w:bCs/>
          <w:color w:val="auto"/>
          <w:sz w:val="32"/>
          <w:szCs w:val="32"/>
          <w:highlight w:val="none"/>
          <w:lang w:val="zh-CN" w:eastAsia="zh-CN"/>
        </w:rPr>
        <w:t>（二）</w:t>
      </w:r>
      <w:r>
        <w:rPr>
          <w:rFonts w:hint="default" w:ascii="楷体_GB2312" w:hAnsi="楷体_GB2312" w:eastAsia="楷体_GB2312" w:cs="楷体_GB2312"/>
          <w:b/>
          <w:bCs/>
          <w:color w:val="auto"/>
          <w:sz w:val="32"/>
          <w:szCs w:val="32"/>
          <w:highlight w:val="none"/>
          <w:lang w:val="zh-CN" w:eastAsia="zh-CN"/>
        </w:rPr>
        <w:t>“</w:t>
      </w:r>
      <w:r>
        <w:rPr>
          <w:rFonts w:hint="eastAsia" w:ascii="楷体_GB2312" w:hAnsi="楷体_GB2312" w:eastAsia="楷体_GB2312" w:cs="楷体_GB2312"/>
          <w:b/>
          <w:bCs/>
          <w:color w:val="auto"/>
          <w:sz w:val="32"/>
          <w:szCs w:val="32"/>
          <w:highlight w:val="none"/>
          <w:lang w:val="zh-CN" w:eastAsia="zh-CN"/>
        </w:rPr>
        <w:t>三公</w:t>
      </w:r>
      <w:r>
        <w:rPr>
          <w:rFonts w:hint="default" w:ascii="楷体_GB2312" w:hAnsi="楷体_GB2312" w:eastAsia="楷体_GB2312" w:cs="楷体_GB2312"/>
          <w:b/>
          <w:bCs/>
          <w:color w:val="auto"/>
          <w:sz w:val="32"/>
          <w:szCs w:val="32"/>
          <w:highlight w:val="none"/>
          <w:lang w:val="zh-CN" w:eastAsia="zh-CN"/>
        </w:rPr>
        <w:t>”</w:t>
      </w:r>
      <w:r>
        <w:rPr>
          <w:rFonts w:hint="eastAsia" w:ascii="楷体_GB2312" w:hAnsi="楷体_GB2312" w:eastAsia="楷体_GB2312" w:cs="楷体_GB2312"/>
          <w:b/>
          <w:bCs/>
          <w:color w:val="auto"/>
          <w:sz w:val="32"/>
          <w:szCs w:val="32"/>
          <w:highlight w:val="none"/>
          <w:lang w:val="zh-CN" w:eastAsia="zh-CN"/>
        </w:rPr>
        <w:t>经费财政拨款支出决算具体情况说明。</w:t>
      </w:r>
    </w:p>
    <w:p>
      <w:pPr>
        <w:ind w:firstLine="64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2020年度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经费财政拨款支出决算中，因公出国（境）费支出决算0</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万元，占0%；公务用车购置及运行费支出决算0</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万元，占0%；公务接待费支出决算0.27万元，完成预算的11.7</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%，占100%；具体情况如下：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w:t>
      </w:r>
    </w:p>
    <w:p>
      <w:pPr>
        <w:ind w:firstLine="64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color w:val="auto"/>
          <w:sz w:val="32"/>
          <w:szCs w:val="32"/>
          <w:highlight w:val="none"/>
          <w:lang w:val="zh-CN" w:eastAsia="zh-CN"/>
        </w:rPr>
        <w:t>年初预算为2.3万元，支出决算为0.27万元，完成年初预算的11.7</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%。决算数与年初预算数存在差异的主要原因是受新冠肺炎疫情影响，减少公务接待活动，以及</w:t>
      </w:r>
      <w:r>
        <w:rPr>
          <w:rFonts w:hint="eastAsia" w:ascii="仿宋_GB2312" w:hAnsi="仿宋_GB2312" w:eastAsia="仿宋_GB2312" w:cs="仿宋_GB2312"/>
          <w:color w:val="auto"/>
          <w:sz w:val="32"/>
          <w:szCs w:val="32"/>
          <w:highlight w:val="none"/>
          <w:lang w:val="en-US" w:eastAsia="zh-CN"/>
        </w:rPr>
        <w:t>严格接待审批控制，厉行勤俭节约，不断压缩公务接待费支出</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公务接待费主要用于开展2020年公共机构节能及相关单位到我市开展公务用车管理情况调研接待。</w:t>
      </w:r>
      <w:r>
        <w:rPr>
          <w:rFonts w:hint="eastAsia" w:ascii="仿宋_GB2312" w:hAnsi="仿宋_GB2312" w:eastAsia="仿宋_GB2312" w:cs="仿宋_GB2312"/>
          <w:color w:val="auto"/>
          <w:sz w:val="32"/>
          <w:szCs w:val="32"/>
          <w:highlight w:val="none"/>
          <w:lang w:val="zh-CN" w:eastAsia="zh-CN"/>
        </w:rPr>
        <w:t>2020年共接待国内来访团组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eastAsia="zh-CN"/>
        </w:rPr>
        <w:t>个、来宾</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lang w:val="zh-CN" w:eastAsia="zh-CN"/>
        </w:rPr>
        <w:t>人次（不包括陪同人员），</w:t>
      </w:r>
      <w:r>
        <w:rPr>
          <w:rFonts w:hint="eastAsia" w:ascii="仿宋_GB2312" w:hAnsi="仿宋_GB2312" w:eastAsia="仿宋_GB2312" w:cs="仿宋_GB2312"/>
          <w:color w:val="auto"/>
          <w:sz w:val="32"/>
          <w:szCs w:val="32"/>
          <w:highlight w:val="none"/>
          <w:lang w:val="en-US" w:eastAsia="zh-CN"/>
        </w:rPr>
        <w:t>无外事接待</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事管局全面贯彻落实“全面实施绩效管理要求”，加快构建以绩效为导向的预算机制，在绩效目标设置、绩效运行监控、绩效结果运用等方面，采取多种措施，提高财政资金使用效益。根据财政预算管理要求，三门峡市机关事务管理局从履职效能、管理效率、运行成本、服务满意度、可持续性方面，对 2020 年度各项专项支出开展绩效自评。并按照市财政要求报送绩效评价报告。</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2020年度，三门峡市机关事务管理局紧盯年度工作目标不放松，顺利完成各项工作任务，单位项目绩效自评结果均为优秀，并不存在较大偏差情况。</w:t>
      </w:r>
      <w:r>
        <w:rPr>
          <w:rFonts w:hint="eastAsia" w:eastAsia="仿宋_GB2312"/>
          <w:b/>
          <w:bCs/>
          <w:sz w:val="32"/>
          <w:szCs w:val="32"/>
          <w:lang w:val="en-US" w:eastAsia="zh-CN"/>
        </w:rPr>
        <w:t>一是公务用车管理服务规范有序。</w:t>
      </w:r>
      <w:r>
        <w:rPr>
          <w:rFonts w:hint="eastAsia" w:eastAsia="仿宋_GB2312"/>
          <w:sz w:val="32"/>
          <w:szCs w:val="32"/>
          <w:lang w:val="en-US" w:eastAsia="zh-CN"/>
        </w:rPr>
        <w:t>进一步加强公务用车编制化、标识化、规范化管理，以市委办、市政府办名义出台《三门峡市党政机关公务用车管理办法》。2020年度为市委市政府及各市直单位高效优质的提供了用车服务1350次，在市直和各县市区党政机关率先推广和应用新能源汽车116辆。</w:t>
      </w:r>
      <w:r>
        <w:rPr>
          <w:rFonts w:hint="eastAsia" w:eastAsia="仿宋_GB2312"/>
          <w:b/>
          <w:bCs/>
          <w:sz w:val="32"/>
          <w:szCs w:val="32"/>
          <w:lang w:val="en-US" w:eastAsia="zh-CN"/>
        </w:rPr>
        <w:t>二是办公用房管理措施得力。</w:t>
      </w:r>
      <w:r>
        <w:rPr>
          <w:rFonts w:hint="eastAsia" w:eastAsia="仿宋_GB2312"/>
          <w:sz w:val="32"/>
          <w:szCs w:val="32"/>
          <w:lang w:val="en-US" w:eastAsia="zh-CN"/>
        </w:rPr>
        <w:t>出台了《三门峡市党政机关办公用房管理实施办法》，持续推进实施办法落实，为我市办公用房使用管理提供了政策遵循和制度保障。积极与三门峡海关、三门峡市税务局联系，争取到上述垂直单位管理闲置办公用房使用面积6058平方米，通过维修改造恢复使用功能，整合出办公用房可调剂使用面积2188平方米，全年累计为市纪委监委、市委组织部等单位调剂办公用房320余间约9000平方米。</w:t>
      </w:r>
      <w:r>
        <w:rPr>
          <w:rFonts w:hint="eastAsia" w:eastAsia="仿宋_GB2312"/>
          <w:b/>
          <w:bCs/>
          <w:sz w:val="32"/>
          <w:szCs w:val="32"/>
          <w:lang w:val="en-US" w:eastAsia="zh-CN"/>
        </w:rPr>
        <w:t>三是公共机构节能成效显著。</w:t>
      </w:r>
      <w:r>
        <w:rPr>
          <w:rFonts w:hint="eastAsia" w:eastAsia="仿宋_GB2312"/>
          <w:sz w:val="32"/>
          <w:szCs w:val="32"/>
          <w:lang w:val="en-US" w:eastAsia="zh-CN"/>
        </w:rPr>
        <w:t>圆满完成了省对我市2019年公共机构节能工作考核，在省下发的年度考核结果通知中获得了优秀单位，节能工作进入我省第一梯队。起草下发了《关于在三门峡市公共机构规范处置废弃口罩的紧急通知》的文件，积极应对新型冠状病毒肺炎疫情，有效防止废弃口罩给我市造成二次污染。</w:t>
      </w:r>
      <w:r>
        <w:rPr>
          <w:rFonts w:hint="eastAsia" w:eastAsia="仿宋_GB2312"/>
          <w:b/>
          <w:bCs/>
          <w:sz w:val="32"/>
          <w:szCs w:val="32"/>
          <w:lang w:val="en-US" w:eastAsia="zh-CN"/>
        </w:rPr>
        <w:t>四是后勤保障稳步提升。</w:t>
      </w:r>
      <w:r>
        <w:rPr>
          <w:rFonts w:hint="eastAsia" w:eastAsia="仿宋_GB2312"/>
          <w:sz w:val="32"/>
          <w:szCs w:val="32"/>
          <w:lang w:val="en-US" w:eastAsia="zh-CN"/>
        </w:rPr>
        <w:t>为四大班子大院、市纪委监委、行政服务中心等党政机关办公场所的提供优质的安保保洁服务，物业水平显著提高。通过不断丰富饭菜花色品种、开展职工食堂烹饪技能大赛等多种方式，提高膳食服务水平，为市直机关58个单位2760名干部职工提供优质就餐保障，并出色完成了全市重大活动和大型会议的就餐服务任务。结合疫情对符合中小微企业的商户租金进行了减免申报。</w:t>
      </w:r>
      <w:r>
        <w:rPr>
          <w:rFonts w:hint="eastAsia" w:eastAsia="仿宋_GB2312"/>
          <w:b/>
          <w:bCs/>
          <w:sz w:val="32"/>
          <w:szCs w:val="32"/>
          <w:lang w:val="en-US" w:eastAsia="zh-CN"/>
        </w:rPr>
        <w:t>五是文博城疫情常态下稳定运营。</w:t>
      </w:r>
      <w:r>
        <w:rPr>
          <w:rFonts w:hint="eastAsia" w:eastAsia="仿宋_GB2312"/>
          <w:sz w:val="32"/>
          <w:szCs w:val="32"/>
          <w:lang w:val="en-US" w:eastAsia="zh-CN"/>
        </w:rPr>
        <w:t>在做好疫情防控的同时，高质量的完成了三门峡春晚、“两会”、市委全会、政府常务会等600余场次的会议服务和重大活动服务保障工作。圆满完成中国摄影艺术节、白天鹅国际摄影大展、黄河文化旅游节等会展活动12场次，举办三门峡市全民健身月线上毽球比赛、天籁藏歌等各类文化演艺体育活动15场，文化科技中心线下接待游客5.3万余人次，线上参观1.3万余人次，团体接待77余场次，联合市消防救援支队举办的“你我‘童’行，一起‘涨’知识”庆六一系列科普活动等形式多样的科普教育活动，让广大市民感受科技的魅力。</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（三）以部门为主体开展的重点绩效评价结果。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根据财政预算管理要求，三门峡市机关事务管理局对2020年度部门预算全面开展绩效自评，自评覆盖率达到100%。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lang w:val="en-US" w:eastAsia="zh-CN"/>
        </w:rPr>
        <w:t>按照部门整体预算自评的要求，根据三门峡市机关事务管理局部门职能和2020年度任务，建立了科学、健全的指标体系及评分标准。对2020年度三门峡市机关事务管理局部门整体预算进行客观评价，最终评分结果：总得分为98分，其中预算执行情况指标权重为10分，得分为10分，得分率为100%；投入管理类指标权重为30分，得分为28分，得分率为93.3%；产出类指标权重25分，得分25分，得分率为100%；效益类指标权重35分，得分35分，得分率为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2020年度我单位没有政府性基金收入和政府性基金支出。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2020年度机关运行经费年初预算为</w:t>
      </w:r>
      <w:r>
        <w:rPr>
          <w:rFonts w:hint="eastAsia" w:ascii="仿宋_GB2312" w:hAnsi="仿宋_GB2312" w:eastAsia="仿宋_GB2312" w:cs="仿宋_GB2312"/>
          <w:color w:val="auto"/>
          <w:sz w:val="32"/>
          <w:szCs w:val="32"/>
          <w:highlight w:val="none"/>
          <w:lang w:val="en-US" w:eastAsia="zh-CN"/>
        </w:rPr>
        <w:t>343.20</w:t>
      </w:r>
      <w:r>
        <w:rPr>
          <w:rFonts w:hint="eastAsia" w:ascii="仿宋_GB2312" w:hAnsi="仿宋_GB2312" w:eastAsia="仿宋_GB2312" w:cs="仿宋_GB2312"/>
          <w:color w:val="auto"/>
          <w:sz w:val="32"/>
          <w:szCs w:val="32"/>
          <w:highlight w:val="none"/>
          <w:lang w:val="zh-CN" w:eastAsia="zh-CN"/>
        </w:rPr>
        <w:t>万元，支出决算为356.83万元，完成年初预算的</w:t>
      </w:r>
      <w:r>
        <w:rPr>
          <w:rFonts w:hint="eastAsia" w:ascii="仿宋_GB2312" w:hAnsi="仿宋_GB2312" w:eastAsia="仿宋_GB2312" w:cs="仿宋_GB2312"/>
          <w:color w:val="auto"/>
          <w:sz w:val="32"/>
          <w:szCs w:val="32"/>
          <w:highlight w:val="none"/>
          <w:lang w:val="en-US" w:eastAsia="zh-CN"/>
        </w:rPr>
        <w:t>103.97</w:t>
      </w:r>
      <w:r>
        <w:rPr>
          <w:rFonts w:hint="eastAsia" w:ascii="仿宋_GB2312" w:hAnsi="仿宋_GB2312" w:eastAsia="仿宋_GB2312" w:cs="仿宋_GB2312"/>
          <w:color w:val="auto"/>
          <w:sz w:val="32"/>
          <w:szCs w:val="32"/>
          <w:highlight w:val="none"/>
          <w:lang w:val="zh-CN" w:eastAsia="zh-CN"/>
        </w:rPr>
        <w:t>%。决算数与年初预算数存在差异的主要原因是</w:t>
      </w:r>
      <w:r>
        <w:rPr>
          <w:rFonts w:hint="eastAsia" w:ascii="仿宋_GB2312" w:hAnsi="仿宋_GB2312" w:eastAsia="仿宋_GB2312" w:cs="仿宋_GB2312"/>
          <w:color w:val="auto"/>
          <w:sz w:val="32"/>
          <w:szCs w:val="32"/>
          <w:highlight w:val="none"/>
          <w:lang w:val="en-US" w:eastAsia="zh-CN"/>
        </w:rPr>
        <w:t>按照市委、市政府的要求，由我单位负责部分市直单位办公楼的物业服务保障以及维修维护工作，按新冠肺炎疫情防控要求购置防疫物资以及物价上涨的因素影响，致使机关运行经费增加。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政府采购支出总额1745.70万元，其中：政府采购工程支出1580.41万元、政府采购服务支出165.29万元。授予中小企业合同金额1745.70万元，占政府采购支出总额的100%，其中：授予小微企业合同金额479.17万元，占政府采购支出总额的27.45%。</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widowControl/>
        <w:ind w:firstLine="640" w:firstLineChars="200"/>
        <w:jc w:val="left"/>
        <w:rPr>
          <w:rFonts w:hint="eastAsia" w:ascii="黑体" w:hAnsi="宋体" w:eastAsia="黑体" w:cs="宋体"/>
          <w:color w:val="auto"/>
          <w:kern w:val="0"/>
          <w:sz w:val="28"/>
          <w:szCs w:val="28"/>
          <w:highlight w:val="none"/>
          <w:lang w:val="en-US" w:eastAsia="zh-CN"/>
        </w:rPr>
      </w:pPr>
      <w:r>
        <w:rPr>
          <w:rFonts w:hint="eastAsia" w:ascii="仿宋_GB2312" w:hAnsi="仿宋_GB2312" w:eastAsia="仿宋_GB2312" w:cs="仿宋_GB2312"/>
          <w:color w:val="auto"/>
          <w:sz w:val="32"/>
          <w:szCs w:val="32"/>
          <w:highlight w:val="none"/>
          <w:lang w:val="en-US" w:eastAsia="zh-CN"/>
        </w:rPr>
        <w:t>2020年期末，三门峡市机关事务管理局(本级)共有车辆4辆，其中：机要通信用车4辆。</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numPr>
          <w:ilvl w:val="0"/>
          <w:numId w:val="2"/>
        </w:num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numPr>
          <w:ilvl w:val="0"/>
          <w:numId w:val="0"/>
        </w:numPr>
        <w:jc w:val="both"/>
        <w:outlineLvl w:val="0"/>
        <w:rPr>
          <w:rFonts w:hint="eastAsia" w:ascii="黑体" w:hAnsi="黑体" w:eastAsia="黑体" w:cs="黑体"/>
          <w:color w:val="auto"/>
          <w:sz w:val="48"/>
          <w:szCs w:val="48"/>
          <w:highlight w:val="none"/>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8AD25"/>
    <w:multiLevelType w:val="singleLevel"/>
    <w:tmpl w:val="D138AD25"/>
    <w:lvl w:ilvl="0" w:tentative="0">
      <w:start w:val="4"/>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MWE0NWMzNGVmNDA2NjU5YTc0YmQ4MjU4ZGU3MWMifQ=="/>
  </w:docVars>
  <w:rsids>
    <w:rsidRoot w:val="00172A27"/>
    <w:rsid w:val="00791992"/>
    <w:rsid w:val="01F56672"/>
    <w:rsid w:val="03A53741"/>
    <w:rsid w:val="045031EB"/>
    <w:rsid w:val="07550E57"/>
    <w:rsid w:val="08AE6044"/>
    <w:rsid w:val="0B134282"/>
    <w:rsid w:val="165E6734"/>
    <w:rsid w:val="18166B98"/>
    <w:rsid w:val="1A46195A"/>
    <w:rsid w:val="1D387DB2"/>
    <w:rsid w:val="1DBB5971"/>
    <w:rsid w:val="21336648"/>
    <w:rsid w:val="2AB90B76"/>
    <w:rsid w:val="2E685BD7"/>
    <w:rsid w:val="2EED6908"/>
    <w:rsid w:val="2F85491C"/>
    <w:rsid w:val="303007DD"/>
    <w:rsid w:val="304270A6"/>
    <w:rsid w:val="313448C7"/>
    <w:rsid w:val="31BC05A4"/>
    <w:rsid w:val="3B1E49C7"/>
    <w:rsid w:val="3D826E7B"/>
    <w:rsid w:val="3FC03D50"/>
    <w:rsid w:val="43977649"/>
    <w:rsid w:val="452B7DF8"/>
    <w:rsid w:val="45BE2DAA"/>
    <w:rsid w:val="47274BBB"/>
    <w:rsid w:val="476E5AE0"/>
    <w:rsid w:val="47B74DBF"/>
    <w:rsid w:val="48664CF2"/>
    <w:rsid w:val="495809F1"/>
    <w:rsid w:val="4A0C7D60"/>
    <w:rsid w:val="50CC06E1"/>
    <w:rsid w:val="56502E22"/>
    <w:rsid w:val="57C72875"/>
    <w:rsid w:val="581D7B98"/>
    <w:rsid w:val="5C4C291F"/>
    <w:rsid w:val="5E950D1C"/>
    <w:rsid w:val="5F4A0903"/>
    <w:rsid w:val="5FCB2B7E"/>
    <w:rsid w:val="66E76A73"/>
    <w:rsid w:val="68E90B6E"/>
    <w:rsid w:val="6AF178EF"/>
    <w:rsid w:val="722A4E10"/>
    <w:rsid w:val="778444D8"/>
    <w:rsid w:val="782C2A5C"/>
    <w:rsid w:val="7A2B76E7"/>
    <w:rsid w:val="7D283407"/>
    <w:rsid w:val="7DA00700"/>
    <w:rsid w:val="7F571427"/>
    <w:rsid w:val="7F79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7485</Words>
  <Characters>8281</Characters>
  <Lines>0</Lines>
  <Paragraphs>0</Paragraphs>
  <TotalTime>43</TotalTime>
  <ScaleCrop>false</ScaleCrop>
  <LinksUpToDate>false</LinksUpToDate>
  <CharactersWithSpaces>8307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2020-10-16T08:34:00Z</dcterms:created>
  <dc:creator>Administrator</dc:creator>
  <cp:lastModifiedBy>熊磊</cp:lastModifiedBy>
  <dcterms:modified xsi:type="dcterms:W3CDTF">2022-09-21T08:37:53Z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14D0569A8DF6455CB1EBDCE1594B9F5E</vt:lpwstr>
  </property>
</Properties>
</file>