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cs="方正小标宋简体" w:asciiTheme="minorEastAsia" w:hAnsiTheme="minorEastAsia" w:eastAsiaTheme="minorEastAsia"/>
          <w:b/>
          <w:bCs/>
          <w:color w:val="000000"/>
          <w:sz w:val="44"/>
          <w:szCs w:val="44"/>
        </w:rPr>
      </w:pPr>
      <w:r>
        <w:rPr>
          <w:rFonts w:hint="eastAsia" w:cs="方正小标宋简体" w:asciiTheme="minorEastAsia" w:hAnsiTheme="minorEastAsia" w:eastAsiaTheme="minorEastAsia"/>
          <w:b/>
          <w:bCs/>
          <w:color w:val="000000"/>
          <w:sz w:val="44"/>
          <w:szCs w:val="44"/>
        </w:rPr>
        <w:t>三门峡市</w:t>
      </w:r>
      <w:r>
        <w:rPr>
          <w:rFonts w:hint="eastAsia" w:cs="方正小标宋简体" w:asciiTheme="minorEastAsia" w:hAnsiTheme="minorEastAsia" w:eastAsiaTheme="minorEastAsia"/>
          <w:b/>
          <w:bCs/>
          <w:color w:val="000000"/>
          <w:sz w:val="44"/>
          <w:szCs w:val="44"/>
          <w:lang w:eastAsia="zh-CN"/>
        </w:rPr>
        <w:t>工商行政管理</w:t>
      </w:r>
      <w:bookmarkStart w:id="0" w:name="_GoBack"/>
      <w:bookmarkEnd w:id="0"/>
      <w:r>
        <w:rPr>
          <w:rFonts w:hint="eastAsia" w:cs="方正小标宋简体" w:asciiTheme="minorEastAsia" w:hAnsiTheme="minorEastAsia" w:eastAsiaTheme="minorEastAsia"/>
          <w:b/>
          <w:bCs/>
          <w:color w:val="000000"/>
          <w:sz w:val="44"/>
          <w:szCs w:val="44"/>
        </w:rPr>
        <w:t>局湖滨分局</w:t>
      </w:r>
    </w:p>
    <w:p>
      <w:pPr>
        <w:spacing w:line="600" w:lineRule="exact"/>
        <w:jc w:val="center"/>
        <w:rPr>
          <w:rFonts w:cs="方正小标宋简体" w:asciiTheme="minorEastAsia" w:hAnsiTheme="minorEastAsia" w:eastAsiaTheme="minorEastAsia"/>
          <w:b/>
          <w:bCs/>
          <w:color w:val="000000"/>
          <w:sz w:val="44"/>
          <w:szCs w:val="44"/>
        </w:rPr>
      </w:pPr>
      <w:r>
        <w:rPr>
          <w:rFonts w:hint="eastAsia" w:cs="方正小标宋简体" w:asciiTheme="minorEastAsia" w:hAnsiTheme="minorEastAsia" w:eastAsiaTheme="minorEastAsia"/>
          <w:b/>
          <w:bCs/>
          <w:color w:val="000000"/>
          <w:sz w:val="44"/>
          <w:szCs w:val="44"/>
        </w:rPr>
        <w:t>202</w:t>
      </w:r>
      <w:r>
        <w:rPr>
          <w:rFonts w:cs="方正小标宋简体" w:asciiTheme="minorEastAsia" w:hAnsiTheme="minorEastAsia" w:eastAsiaTheme="minorEastAsia"/>
          <w:b/>
          <w:bCs/>
          <w:color w:val="000000"/>
          <w:sz w:val="44"/>
          <w:szCs w:val="44"/>
        </w:rPr>
        <w:t>1</w:t>
      </w:r>
      <w:r>
        <w:rPr>
          <w:rFonts w:hint="eastAsia" w:cs="方正小标宋简体" w:asciiTheme="minorEastAsia" w:hAnsiTheme="minorEastAsia" w:eastAsiaTheme="minorEastAsia"/>
          <w:b/>
          <w:bCs/>
          <w:color w:val="000000"/>
          <w:sz w:val="44"/>
          <w:szCs w:val="44"/>
        </w:rPr>
        <w:t>年项目支出（日常办案经费）</w:t>
      </w:r>
    </w:p>
    <w:p>
      <w:pPr>
        <w:spacing w:line="600" w:lineRule="exact"/>
        <w:jc w:val="center"/>
        <w:rPr>
          <w:rFonts w:cs="方正小标宋简体" w:asciiTheme="minorEastAsia" w:hAnsiTheme="minorEastAsia" w:eastAsiaTheme="minorEastAsia"/>
          <w:b/>
          <w:bCs/>
          <w:color w:val="000000"/>
          <w:sz w:val="44"/>
          <w:szCs w:val="44"/>
        </w:rPr>
      </w:pPr>
      <w:r>
        <w:rPr>
          <w:rFonts w:hint="eastAsia" w:cs="方正小标宋简体" w:asciiTheme="minorEastAsia" w:hAnsiTheme="minorEastAsia" w:eastAsiaTheme="minorEastAsia"/>
          <w:b/>
          <w:bCs/>
          <w:color w:val="000000"/>
          <w:sz w:val="44"/>
          <w:szCs w:val="44"/>
        </w:rPr>
        <w:t>自 评 报 告</w:t>
      </w:r>
    </w:p>
    <w:p>
      <w:pPr>
        <w:spacing w:line="600" w:lineRule="exact"/>
        <w:ind w:firstLine="720" w:firstLineChars="200"/>
        <w:rPr>
          <w:rFonts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</w:p>
    <w:p>
      <w:pPr>
        <w:spacing w:line="600" w:lineRule="exact"/>
        <w:ind w:firstLine="643" w:firstLineChars="200"/>
        <w:rPr>
          <w:rFonts w:ascii="楷体" w:hAnsi="楷体" w:eastAsia="楷体" w:cs="黑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黑体"/>
          <w:b/>
          <w:bCs/>
          <w:color w:val="000000"/>
          <w:sz w:val="32"/>
          <w:szCs w:val="32"/>
        </w:rPr>
        <w:t>一、项目支出基本情况</w:t>
      </w:r>
    </w:p>
    <w:p>
      <w:pPr>
        <w:ind w:firstLine="640" w:firstLineChars="200"/>
        <w:rPr>
          <w:rFonts w:ascii="仿宋" w:hAnsi="仿宋" w:eastAsia="仿宋" w:cs="黑体"/>
          <w:color w:val="000000"/>
          <w:sz w:val="32"/>
          <w:szCs w:val="32"/>
        </w:rPr>
      </w:pPr>
      <w:r>
        <w:rPr>
          <w:rFonts w:hint="eastAsia" w:ascii="仿宋" w:hAnsi="仿宋" w:eastAsia="仿宋" w:cs="黑体"/>
          <w:color w:val="000000"/>
          <w:sz w:val="32"/>
          <w:szCs w:val="32"/>
        </w:rPr>
        <w:t>负责辖区内市场监督管理的行政管理工作；按照事权划分负责辖区市场主体统一登记注册行政审批服务事项；负责简易程序案件的查处；负责规范管理市场秩序；配合市局开展市场监督管理新闻宣传、对外交流与合作；在地方党委(党工委)组织部门的指导下，协调开展辖区小微企业、个体工商户党建工作；负责辖区消费维权及环境建设；负责辖区产品质量安全的日常监督管理；负责完成市局交办的其他任务。</w:t>
      </w:r>
    </w:p>
    <w:p>
      <w:pPr>
        <w:pStyle w:val="2"/>
        <w:shd w:val="clear" w:color="auto" w:fill="FFFFFF"/>
        <w:spacing w:before="0" w:beforeAutospacing="0" w:after="0" w:afterAutospacing="0"/>
        <w:ind w:firstLine="640" w:firstLineChars="200"/>
        <w:textAlignment w:val="baseline"/>
        <w:rPr>
          <w:rFonts w:ascii="仿宋" w:hAnsi="仿宋" w:eastAsia="仿宋"/>
          <w:b w:val="0"/>
          <w:bCs w:val="0"/>
          <w:color w:val="333333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该</w:t>
      </w:r>
      <w:r>
        <w:rPr>
          <w:rFonts w:ascii="仿宋" w:hAnsi="仿宋" w:eastAsia="仿宋"/>
          <w:b w:val="0"/>
          <w:bCs w:val="0"/>
          <w:sz w:val="32"/>
          <w:szCs w:val="32"/>
        </w:rPr>
        <w:t>项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目年度目标：一是规范和维护市场秩序；二是公平竞争的市场环境；三是履行市场监管职能，监管水平得以提升；四是保障执法办案工作正常运转</w:t>
      </w:r>
      <w:r>
        <w:rPr>
          <w:rFonts w:hint="eastAsia" w:ascii="仿宋" w:hAnsi="仿宋" w:eastAsia="仿宋"/>
          <w:b w:val="0"/>
          <w:bCs w:val="0"/>
          <w:color w:val="333333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_GB2312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202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年该项目预算收入：</w:t>
      </w:r>
      <w:r>
        <w:rPr>
          <w:rFonts w:hint="eastAsia" w:ascii="仿宋" w:hAnsi="仿宋" w:eastAsia="仿宋" w:cs="方正小标宋简体"/>
          <w:bCs/>
          <w:color w:val="000000"/>
          <w:sz w:val="32"/>
          <w:szCs w:val="32"/>
        </w:rPr>
        <w:t>日常办案经费3</w:t>
      </w:r>
      <w:r>
        <w:rPr>
          <w:rFonts w:ascii="仿宋" w:hAnsi="仿宋" w:eastAsia="仿宋" w:cs="方正小标宋简体"/>
          <w:bCs/>
          <w:color w:val="000000"/>
          <w:sz w:val="32"/>
          <w:szCs w:val="32"/>
        </w:rPr>
        <w:t>5.50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万元。截止2021年12月3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日，</w:t>
      </w:r>
      <w:r>
        <w:rPr>
          <w:rFonts w:hint="eastAsia" w:ascii="仿宋" w:hAnsi="仿宋" w:eastAsia="仿宋" w:cs="方正小标宋简体"/>
          <w:bCs/>
          <w:color w:val="000000"/>
          <w:sz w:val="32"/>
          <w:szCs w:val="32"/>
        </w:rPr>
        <w:t>日常办案经费2</w:t>
      </w:r>
      <w:r>
        <w:rPr>
          <w:rFonts w:ascii="仿宋" w:hAnsi="仿宋" w:eastAsia="仿宋" w:cs="方正小标宋简体"/>
          <w:bCs/>
          <w:color w:val="000000"/>
          <w:sz w:val="32"/>
          <w:szCs w:val="32"/>
        </w:rPr>
        <w:t>4.24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万元，该项目预算</w:t>
      </w:r>
      <w:r>
        <w:rPr>
          <w:rFonts w:hint="eastAsia" w:ascii="仿宋" w:hAnsi="仿宋" w:eastAsia="仿宋"/>
          <w:bCs/>
          <w:sz w:val="32"/>
          <w:szCs w:val="32"/>
        </w:rPr>
        <w:t>执行率6</w:t>
      </w:r>
      <w:r>
        <w:rPr>
          <w:rFonts w:ascii="仿宋" w:hAnsi="仿宋" w:eastAsia="仿宋"/>
          <w:bCs/>
          <w:sz w:val="32"/>
          <w:szCs w:val="32"/>
        </w:rPr>
        <w:t>8.28</w:t>
      </w:r>
      <w:r>
        <w:rPr>
          <w:rFonts w:hint="eastAsia" w:ascii="仿宋" w:hAnsi="仿宋" w:eastAsia="仿宋"/>
          <w:bCs/>
          <w:sz w:val="32"/>
          <w:szCs w:val="32"/>
        </w:rPr>
        <w:t>%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。</w:t>
      </w:r>
    </w:p>
    <w:p>
      <w:pPr>
        <w:ind w:firstLine="630" w:firstLineChars="196"/>
        <w:rPr>
          <w:rFonts w:ascii="楷体" w:hAnsi="楷体" w:eastAsia="楷体" w:cs="黑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黑体"/>
          <w:b/>
          <w:bCs/>
          <w:color w:val="000000"/>
          <w:sz w:val="32"/>
          <w:szCs w:val="32"/>
        </w:rPr>
        <w:t>二、绩效自评工作开展情况</w:t>
      </w:r>
    </w:p>
    <w:p>
      <w:pPr>
        <w:ind w:firstLine="640" w:firstLineChars="200"/>
        <w:rPr>
          <w:rFonts w:ascii="仿宋" w:hAnsi="仿宋" w:eastAsia="仿宋" w:cs="仿宋_GB2312"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按照市局财务科要求，分局组织财务人员对使用财政资金安排的项目支出开展绩效自评，实现绩效自评“全覆盖”。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并严格按照要求开展项目绩效自评工作，并按时完成汇总上报。</w:t>
      </w:r>
    </w:p>
    <w:p>
      <w:pPr>
        <w:ind w:firstLine="643" w:firstLineChars="200"/>
        <w:rPr>
          <w:rFonts w:ascii="楷体" w:hAnsi="楷体" w:eastAsia="楷体" w:cs="黑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黑体"/>
          <w:b/>
          <w:bCs/>
          <w:color w:val="000000"/>
          <w:sz w:val="32"/>
          <w:szCs w:val="32"/>
        </w:rPr>
        <w:t>三、绩效自评结果及分析</w:t>
      </w:r>
    </w:p>
    <w:p>
      <w:pPr>
        <w:pStyle w:val="5"/>
        <w:spacing w:before="0" w:beforeAutospacing="0" w:after="0" w:afterAutospacing="0"/>
        <w:ind w:firstLine="640" w:firstLineChars="20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截止202</w:t>
      </w:r>
      <w:r>
        <w:rPr>
          <w:rFonts w:ascii="仿宋" w:hAnsi="仿宋" w:eastAsia="仿宋"/>
          <w:color w:val="333333"/>
          <w:sz w:val="32"/>
          <w:szCs w:val="32"/>
        </w:rPr>
        <w:t>1</w:t>
      </w:r>
      <w:r>
        <w:rPr>
          <w:rFonts w:hint="eastAsia" w:ascii="仿宋" w:hAnsi="仿宋" w:eastAsia="仿宋"/>
          <w:color w:val="333333"/>
          <w:sz w:val="32"/>
          <w:szCs w:val="32"/>
        </w:rPr>
        <w:t>年12月3</w:t>
      </w:r>
      <w:r>
        <w:rPr>
          <w:rFonts w:ascii="仿宋" w:hAnsi="仿宋" w:eastAsia="仿宋"/>
          <w:color w:val="333333"/>
          <w:sz w:val="32"/>
          <w:szCs w:val="32"/>
        </w:rPr>
        <w:t>1</w:t>
      </w:r>
      <w:r>
        <w:rPr>
          <w:rFonts w:hint="eastAsia" w:ascii="仿宋" w:hAnsi="仿宋" w:eastAsia="仿宋"/>
          <w:color w:val="333333"/>
          <w:sz w:val="32"/>
          <w:szCs w:val="32"/>
        </w:rPr>
        <w:t>日，自评结果为“良好”。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202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年分局完成绩效目标的项目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个，指标完成有偏差的项目1个、偏差较大（20%及以上）的项目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0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个，存在偏差的指标占比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0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%。</w:t>
      </w:r>
      <w:r>
        <w:rPr>
          <w:rFonts w:hint="eastAsia" w:ascii="仿宋" w:hAnsi="仿宋" w:eastAsia="仿宋"/>
          <w:color w:val="333333"/>
          <w:sz w:val="32"/>
          <w:szCs w:val="32"/>
        </w:rPr>
        <w:t>项目自评报告符合规定要求，按照要求设置了一定数量且能衡量项目实际绩效的具体指标。项目资金使用合法合规，项目实施取得了应有的效益。</w:t>
      </w:r>
    </w:p>
    <w:p>
      <w:pPr>
        <w:spacing w:line="600" w:lineRule="exact"/>
        <w:ind w:firstLine="640" w:firstLineChars="200"/>
        <w:rPr>
          <w:rFonts w:ascii="仿宋" w:hAnsi="仿宋" w:eastAsia="仿宋" w:cs="仿宋_GB2312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202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年</w:t>
      </w:r>
      <w:r>
        <w:rPr>
          <w:rFonts w:hint="eastAsia" w:ascii="仿宋" w:hAnsi="仿宋" w:eastAsia="仿宋" w:cs="方正小标宋简体"/>
          <w:bCs/>
          <w:color w:val="000000"/>
          <w:sz w:val="32"/>
          <w:szCs w:val="32"/>
        </w:rPr>
        <w:t>日常办案经费</w:t>
      </w:r>
      <w:r>
        <w:rPr>
          <w:rFonts w:hint="eastAsia" w:ascii="仿宋" w:hAnsi="仿宋" w:eastAsia="仿宋"/>
          <w:bCs/>
          <w:sz w:val="32"/>
          <w:szCs w:val="32"/>
        </w:rPr>
        <w:t>执行率6</w:t>
      </w:r>
      <w:r>
        <w:rPr>
          <w:rFonts w:ascii="仿宋" w:hAnsi="仿宋" w:eastAsia="仿宋"/>
          <w:bCs/>
          <w:sz w:val="32"/>
          <w:szCs w:val="32"/>
        </w:rPr>
        <w:t>8.28</w:t>
      </w:r>
      <w:r>
        <w:rPr>
          <w:rFonts w:hint="eastAsia" w:ascii="仿宋" w:hAnsi="仿宋" w:eastAsia="仿宋"/>
          <w:bCs/>
          <w:sz w:val="32"/>
          <w:szCs w:val="32"/>
        </w:rPr>
        <w:t>%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。原因如下：一是机构合并，人员变动，执法办案工作经费当年未支付，需要结转至下年支付；二是2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021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年下半年由于疫情影响，部分办案人员停止外出办案，日常办案差旅费下降。</w:t>
      </w:r>
    </w:p>
    <w:p>
      <w:pPr>
        <w:ind w:firstLine="630" w:firstLineChars="196"/>
        <w:rPr>
          <w:rFonts w:ascii="楷体" w:hAnsi="楷体" w:eastAsia="楷体" w:cs="黑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黑体"/>
          <w:b/>
          <w:bCs/>
          <w:color w:val="000000"/>
          <w:sz w:val="32"/>
          <w:szCs w:val="32"/>
        </w:rPr>
        <w:t>四、自评发现的问题及整改措施</w:t>
      </w:r>
    </w:p>
    <w:p>
      <w:pPr>
        <w:ind w:firstLine="480" w:firstLineChars="150"/>
        <w:rPr>
          <w:rFonts w:hint="eastAsia" w:ascii="仿宋" w:hAnsi="仿宋" w:eastAsia="仿宋" w:cs="黑体"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333333"/>
          <w:sz w:val="32"/>
          <w:szCs w:val="32"/>
        </w:rPr>
        <w:t>一是自评打分缺少有力的材料佐证，随意性较大，自评满分率高；二是自评报告以反映项目实施依据、实施内容及具体支出金额和预算执行率为主，没有深入查找剖析项目实施过程中存在的问题,并提出相对应的改进措施；三是由于分局项目少资金少，对绩效自评工作不够重视。</w:t>
      </w:r>
    </w:p>
    <w:p>
      <w:pPr>
        <w:ind w:firstLine="643" w:firstLineChars="200"/>
        <w:rPr>
          <w:rFonts w:ascii="楷体" w:hAnsi="楷体" w:eastAsia="楷体" w:cs="黑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黑体"/>
          <w:b/>
          <w:bCs/>
          <w:color w:val="000000"/>
          <w:sz w:val="32"/>
          <w:szCs w:val="32"/>
        </w:rPr>
        <w:t>五、绩效自评工作建议及预算安排建议</w:t>
      </w:r>
    </w:p>
    <w:p>
      <w:pPr>
        <w:pStyle w:val="5"/>
        <w:spacing w:before="0" w:beforeAutospacing="0" w:after="0" w:afterAutospacing="0"/>
        <w:ind w:firstLine="640" w:firstLineChars="20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在今后财务工作中</w:t>
      </w:r>
      <w:r>
        <w:rPr>
          <w:rFonts w:hint="eastAsia" w:ascii="仿宋" w:hAnsi="仿宋" w:eastAsia="仿宋"/>
          <w:color w:val="333333"/>
          <w:sz w:val="32"/>
          <w:szCs w:val="32"/>
        </w:rPr>
        <w:t>要高度重视预算绩效管理工作，认真学习全过程预算绩效管理知识，将其与部门项目和具体工作结合起来。财务人员要强化牵头作用，加强统筹协调，业务科室要积极配合财务部门工作，提供绩效管理的各项资料，形成预算绩效管理的合力。</w:t>
      </w:r>
    </w:p>
    <w:p>
      <w:pPr>
        <w:ind w:firstLine="643" w:firstLineChars="200"/>
        <w:rPr>
          <w:rFonts w:ascii="楷体" w:hAnsi="楷体" w:eastAsia="楷体" w:cs="黑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黑体"/>
          <w:b/>
          <w:bCs/>
          <w:color w:val="000000"/>
          <w:sz w:val="32"/>
          <w:szCs w:val="32"/>
        </w:rPr>
        <w:t>六、其他需要说明的问题</w:t>
      </w:r>
    </w:p>
    <w:p>
      <w:pPr>
        <w:ind w:firstLine="580"/>
        <w:rPr>
          <w:rFonts w:ascii="仿宋" w:hAnsi="仿宋" w:eastAsia="仿宋" w:cs="仿宋_GB2312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无。</w:t>
      </w:r>
    </w:p>
    <w:p>
      <w:pPr>
        <w:ind w:right="640" w:firstLine="580"/>
        <w:rPr>
          <w:rFonts w:ascii="仿宋_GB2312" w:hAnsi="仿宋_GB2312" w:cs="仿宋_GB2312"/>
          <w:bCs/>
          <w:color w:val="000000"/>
          <w:sz w:val="32"/>
          <w:szCs w:val="32"/>
        </w:rPr>
      </w:pPr>
    </w:p>
    <w:p>
      <w:pPr>
        <w:ind w:right="640" w:firstLine="4416" w:firstLineChars="1380"/>
        <w:rPr>
          <w:rFonts w:ascii="仿宋_GB2312" w:hAnsi="仿宋_GB2312" w:cs="仿宋_GB2312"/>
          <w:bCs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宋体-方正超大字符集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C7032F9"/>
    <w:rsid w:val="000C16F5"/>
    <w:rsid w:val="000E6D9B"/>
    <w:rsid w:val="00163016"/>
    <w:rsid w:val="001833FE"/>
    <w:rsid w:val="00220587"/>
    <w:rsid w:val="003A2170"/>
    <w:rsid w:val="003C6579"/>
    <w:rsid w:val="004C69D7"/>
    <w:rsid w:val="004F0879"/>
    <w:rsid w:val="00513A99"/>
    <w:rsid w:val="005E4A33"/>
    <w:rsid w:val="00625631"/>
    <w:rsid w:val="00770EB2"/>
    <w:rsid w:val="007A0A13"/>
    <w:rsid w:val="007A71BF"/>
    <w:rsid w:val="007B73D9"/>
    <w:rsid w:val="00944269"/>
    <w:rsid w:val="00A45D1D"/>
    <w:rsid w:val="00BA01BB"/>
    <w:rsid w:val="00BA24F4"/>
    <w:rsid w:val="00C80F9A"/>
    <w:rsid w:val="00D1281E"/>
    <w:rsid w:val="00D35465"/>
    <w:rsid w:val="29884231"/>
    <w:rsid w:val="3AB93CB4"/>
    <w:rsid w:val="3D8D3E54"/>
    <w:rsid w:val="49886A39"/>
    <w:rsid w:val="5C7032F9"/>
    <w:rsid w:val="70A13019"/>
    <w:rsid w:val="740E440C"/>
    <w:rsid w:val="7E0D5D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仿宋_GB2312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仿宋_GB2312"/>
      <w:kern w:val="2"/>
      <w:sz w:val="18"/>
      <w:szCs w:val="18"/>
    </w:rPr>
  </w:style>
  <w:style w:type="character" w:customStyle="1" w:styleId="10">
    <w:name w:val="标题 2 字符"/>
    <w:basedOn w:val="7"/>
    <w:link w:val="2"/>
    <w:uiPriority w:val="9"/>
    <w:rPr>
      <w:rFonts w:ascii="宋体" w:hAnsi="宋体" w:cs="宋体"/>
      <w:b/>
      <w:bCs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152</Words>
  <Characters>873</Characters>
  <Lines>7</Lines>
  <Paragraphs>2</Paragraphs>
  <TotalTime>37</TotalTime>
  <ScaleCrop>false</ScaleCrop>
  <LinksUpToDate>false</LinksUpToDate>
  <CharactersWithSpaces>1023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2021-04-08T02:33:00Z</dcterms:created>
  <dc:creator>平凡一生</dc:creator>
  <cp:lastModifiedBy>Administrator</cp:lastModifiedBy>
  <dcterms:modified xsi:type="dcterms:W3CDTF">2022-04-27T02:50:06Z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