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湖滨食药</w:t>
      </w: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ascii="方正小标宋简体" w:eastAsia="方正小标宋简体"/>
          <w:sz w:val="44"/>
          <w:szCs w:val="44"/>
        </w:rPr>
        <w:t>1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部门整体自评</w:t>
      </w:r>
      <w:r>
        <w:rPr>
          <w:rFonts w:hint="eastAsia" w:ascii="方正小标宋简体" w:eastAsia="方正小标宋简体"/>
          <w:sz w:val="44"/>
          <w:szCs w:val="44"/>
        </w:rPr>
        <w:t>报告</w:t>
      </w:r>
    </w:p>
    <w:p/>
    <w:p>
      <w:pPr>
        <w:pStyle w:val="10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（一）部门整体情况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三门峡市湖滨区食品药品监督管理局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年度部门总目标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为：1、开展食品安全监督抽查、风险监测，及时了解食品安全总体形势，为食品安全监管提供决策依据。2、开展食品安全城市创建，逐步以企业为主导、政府部门监管、人民群众参与的食品安全共创局面。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主要任务为：1、保障人员工资和各项津补贴。2、保障食品药品部门正常运转。3、保障辖区内食品安全监管有序正常开展。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根据2021年预算资金安排，绩效目标设定情况如图：</w:t>
      </w:r>
    </w:p>
    <w:tbl>
      <w:tblPr>
        <w:tblStyle w:val="5"/>
        <w:tblW w:w="7851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1563"/>
        <w:gridCol w:w="1440"/>
        <w:gridCol w:w="40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投入管理指标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工作目标管理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年度履职目标相关性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工作任务科学性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绩效指标合理性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预算和财务管理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预算编制完整性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专项资金细化率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预算执行率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预算调整率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结转结余率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“三公经费”控制率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政府采购执行率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决算真实性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管理制度健全性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预决算信息公开性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资产管理规范性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绩效管理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绩效监控完成率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绩效自评完成率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部门绩效评价完成率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评价结果应用率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重点工作任务完成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保障人员工资和各项津补贴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保障食品药品部门正常运转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保障辖区内食品安全监管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履职目标实现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开展食品安全监督抽查、风险监测，及时了解食品安全总体形势，为食品安全监管提供决策依据。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开展食品安全城市创建，逐步以企业为主导、政府部门监管、人民群众参与的食品安全共创局面。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履职效益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社会公众满意度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服务对象满意度</w:t>
            </w:r>
          </w:p>
        </w:tc>
      </w:tr>
    </w:tbl>
    <w:p>
      <w:pPr>
        <w:ind w:firstLine="640" w:firstLineChars="20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（二）项目总体情况</w:t>
      </w: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部门项目支出总体预算和执行情况，项目构成情况，绩效目标批复情况等。</w:t>
      </w:r>
    </w:p>
    <w:p>
      <w:pPr>
        <w:ind w:firstLine="640" w:firstLineChars="200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三门峡市湖滨区食品药品监督管理局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2021年度项目支出总体预算为35万元，其中：食品安全监管经费18万元，商品质量抽检经费2万元，食品安全监管其他经费15万元。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</w:t>
      </w:r>
      <w:r>
        <w:rPr>
          <w:rFonts w:hint="eastAsia" w:ascii="黑体" w:hAnsi="黑体" w:eastAsia="黑体"/>
          <w:sz w:val="32"/>
          <w:szCs w:val="32"/>
          <w:lang w:eastAsia="zh-CN"/>
        </w:rPr>
        <w:t>自评</w:t>
      </w:r>
      <w:r>
        <w:rPr>
          <w:rFonts w:hint="eastAsia" w:ascii="黑体" w:hAnsi="黑体" w:eastAsia="黑体"/>
          <w:sz w:val="32"/>
          <w:szCs w:val="32"/>
        </w:rPr>
        <w:t>工作组织</w:t>
      </w:r>
      <w:r>
        <w:rPr>
          <w:rFonts w:hint="eastAsia" w:ascii="黑体" w:hAnsi="黑体" w:eastAsia="黑体"/>
          <w:sz w:val="32"/>
          <w:szCs w:val="32"/>
          <w:lang w:eastAsia="zh-CN"/>
        </w:rPr>
        <w:t>开展</w:t>
      </w:r>
      <w:r>
        <w:rPr>
          <w:rFonts w:hint="eastAsia" w:ascii="黑体" w:hAnsi="黑体" w:eastAsia="黑体"/>
          <w:sz w:val="32"/>
          <w:szCs w:val="32"/>
        </w:rPr>
        <w:t>情况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绩效自评范围为预算批复的基本支出和项目支出。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组织开展程序：为确保预算资金绩效管理工作顺利开展，我单位及时开展预算资金绩效监控工作，落实基本支出、项目支出绩效监控工作一把手责任制，组织协调实施、统筹推进我单位预算资金绩效监控、自评工作。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责任单位：三门峡市湖滨区食品药品监督管理局。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三、综合评定结论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预算执行情况为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97%，得分为9分，投入管理指标得分为30分，产出指标得分25分，效益指标得分33分。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四、存在的主要问题及原因分析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（一）部门整体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eastAsia="zh-CN"/>
        </w:rPr>
        <w:t>绩效</w:t>
      </w:r>
      <w:r>
        <w:rPr>
          <w:rFonts w:hint="eastAsia" w:ascii="仿宋_GB2312" w:eastAsia="仿宋_GB2312"/>
          <w:sz w:val="32"/>
          <w:szCs w:val="32"/>
          <w:lang w:eastAsia="zh-CN"/>
        </w:rPr>
        <w:t>自评</w:t>
      </w:r>
      <w:r>
        <w:rPr>
          <w:rFonts w:hint="default" w:ascii="仿宋_GB2312" w:eastAsia="仿宋_GB2312"/>
          <w:sz w:val="32"/>
          <w:szCs w:val="32"/>
          <w:lang w:eastAsia="zh-CN"/>
        </w:rPr>
        <w:t>资料收集不够全面，主要是社会效益方面的资料不够全面，尽管诸多执法监管工作引起了不同范围内的社会关注和好评，但由于不注重收集或收集不及时，致使在评价过程中缺乏有说服力的证据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（二）项目支出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" w:lineRule="atLeast"/>
        <w:ind w:left="0" w:right="0" w:firstLine="640" w:firstLineChars="200"/>
        <w:jc w:val="both"/>
        <w:textAlignment w:val="auto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专项经费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的预算支出明细科目编制不够准确，预算实际使用过程中产生偏差，无法准确预计全年经济活动。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五、下一步改进工作的意见建议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  <w:lang w:eastAsia="zh-CN"/>
        </w:rPr>
        <w:t>为保证专项资金规范使用，我局将根据预算资金的总量、方向及实际专项工作情况，对批复到位的专项资金做好精细核算，切实做到专款专用，实现资金使用效率最优化，具体做到：一是强化制度保障。完善单位《财务管理制度》及《经费管理办法》，将执法办案经费、打击传销经费等专项经费单列出来并要求足额拨付，为专项资金的使用管理提供制度保障。二是强化绩效与经费挂钩。为保障专项资金用到实处，实行专项绩效与经费挂钩办法，除了拨付基本的专项经费外，对绩效目标明确、完成情况好的单位实行专项经费的再倾斜。三是强化专项经费的报销程序。规定每一笔经费在核定的支出限额和支出范围内凭发票据实报销，每一笔费用支出都必须经过经办人、使用单位负责人、主管局领导、主管财务局领导及财务管理人员多方核实后方可报销，确保专项资金支出依法依规依序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六、其他需要说明的问题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附表：1.部门整体绩效</w:t>
      </w:r>
      <w:r>
        <w:rPr>
          <w:rFonts w:hint="eastAsia" w:ascii="仿宋_GB2312" w:eastAsia="仿宋_GB2312"/>
          <w:sz w:val="32"/>
          <w:szCs w:val="32"/>
          <w:lang w:eastAsia="zh-CN"/>
        </w:rPr>
        <w:t>自评</w:t>
      </w:r>
      <w:r>
        <w:rPr>
          <w:rFonts w:hint="eastAsia" w:ascii="仿宋_GB2312" w:eastAsia="仿宋_GB2312"/>
          <w:sz w:val="32"/>
          <w:szCs w:val="32"/>
        </w:rPr>
        <w:t>表</w:t>
      </w:r>
    </w:p>
    <w:p>
      <w:pPr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2.部门项目绩效</w:t>
      </w:r>
      <w:r>
        <w:rPr>
          <w:rFonts w:hint="eastAsia" w:ascii="仿宋_GB2312" w:eastAsia="仿宋_GB2312"/>
          <w:sz w:val="32"/>
          <w:szCs w:val="32"/>
          <w:lang w:eastAsia="zh-CN"/>
        </w:rPr>
        <w:t>自评</w:t>
      </w:r>
      <w:r>
        <w:rPr>
          <w:rFonts w:hint="eastAsia" w:ascii="仿宋_GB2312" w:eastAsia="仿宋_GB2312"/>
          <w:sz w:val="32"/>
          <w:szCs w:val="32"/>
        </w:rPr>
        <w:t>表</w:t>
      </w:r>
    </w:p>
    <w:p>
      <w:pPr>
        <w:ind w:left="4960" w:leftChars="2362" w:firstLine="640" w:firstLineChars="200"/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ind w:left="3833" w:leftChars="1368" w:hanging="960" w:hanging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三门峡市湖滨区食品药品监督管理局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2022年4月25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日</w:t>
      </w:r>
    </w:p>
    <w:p>
      <w:pPr>
        <w:ind w:left="4960" w:leftChars="2362" w:firstLine="640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BB73D9"/>
    <w:multiLevelType w:val="singleLevel"/>
    <w:tmpl w:val="D9BB73D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195652A"/>
    <w:multiLevelType w:val="multilevel"/>
    <w:tmpl w:val="0195652A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0B"/>
    <w:rsid w:val="000222A2"/>
    <w:rsid w:val="00043EE1"/>
    <w:rsid w:val="000639D9"/>
    <w:rsid w:val="000C5FBB"/>
    <w:rsid w:val="000D4537"/>
    <w:rsid w:val="001A7B6A"/>
    <w:rsid w:val="001B2548"/>
    <w:rsid w:val="00245D61"/>
    <w:rsid w:val="00246193"/>
    <w:rsid w:val="002A6DFB"/>
    <w:rsid w:val="002D5B28"/>
    <w:rsid w:val="0030167E"/>
    <w:rsid w:val="00427BBF"/>
    <w:rsid w:val="00432433"/>
    <w:rsid w:val="005F4D42"/>
    <w:rsid w:val="006726C0"/>
    <w:rsid w:val="006B0E10"/>
    <w:rsid w:val="006B1308"/>
    <w:rsid w:val="006E5299"/>
    <w:rsid w:val="00740127"/>
    <w:rsid w:val="007C32D1"/>
    <w:rsid w:val="007E20B4"/>
    <w:rsid w:val="007F4B0B"/>
    <w:rsid w:val="00824241"/>
    <w:rsid w:val="00877675"/>
    <w:rsid w:val="008D65D1"/>
    <w:rsid w:val="00907E15"/>
    <w:rsid w:val="0091020A"/>
    <w:rsid w:val="00A11AB1"/>
    <w:rsid w:val="00A16AB3"/>
    <w:rsid w:val="00A57501"/>
    <w:rsid w:val="00A70598"/>
    <w:rsid w:val="00A81D1F"/>
    <w:rsid w:val="00B11E1B"/>
    <w:rsid w:val="00B554BB"/>
    <w:rsid w:val="00C467B0"/>
    <w:rsid w:val="00CA480E"/>
    <w:rsid w:val="00CF1566"/>
    <w:rsid w:val="00CF1637"/>
    <w:rsid w:val="00D32CBD"/>
    <w:rsid w:val="00D73376"/>
    <w:rsid w:val="00D820D2"/>
    <w:rsid w:val="00F15FCC"/>
    <w:rsid w:val="00F451E9"/>
    <w:rsid w:val="00F73C40"/>
    <w:rsid w:val="00FB3F8A"/>
    <w:rsid w:val="06147B51"/>
    <w:rsid w:val="07714819"/>
    <w:rsid w:val="093D3DD7"/>
    <w:rsid w:val="0BD86BE7"/>
    <w:rsid w:val="0C9924B8"/>
    <w:rsid w:val="0DF13311"/>
    <w:rsid w:val="0E9471B0"/>
    <w:rsid w:val="10163D3C"/>
    <w:rsid w:val="11DB24FD"/>
    <w:rsid w:val="121D4800"/>
    <w:rsid w:val="13B56DA4"/>
    <w:rsid w:val="149A37EA"/>
    <w:rsid w:val="1CA26F76"/>
    <w:rsid w:val="24525540"/>
    <w:rsid w:val="2D6123A6"/>
    <w:rsid w:val="3113174B"/>
    <w:rsid w:val="31B25E32"/>
    <w:rsid w:val="324E69FC"/>
    <w:rsid w:val="32BA2D9E"/>
    <w:rsid w:val="35165378"/>
    <w:rsid w:val="3C323734"/>
    <w:rsid w:val="4333230A"/>
    <w:rsid w:val="49DC3050"/>
    <w:rsid w:val="4F4C12DB"/>
    <w:rsid w:val="4F7A628F"/>
    <w:rsid w:val="56AD2268"/>
    <w:rsid w:val="60BC7875"/>
    <w:rsid w:val="646D0F01"/>
    <w:rsid w:val="6DE308F3"/>
    <w:rsid w:val="70E74D78"/>
    <w:rsid w:val="724B6E46"/>
    <w:rsid w:val="738502B3"/>
    <w:rsid w:val="75EA2B69"/>
    <w:rsid w:val="78637A87"/>
    <w:rsid w:val="7C48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82</Words>
  <Characters>468</Characters>
  <Lines>3</Lines>
  <Paragraphs>1</Paragraphs>
  <TotalTime>107</TotalTime>
  <ScaleCrop>false</ScaleCrop>
  <LinksUpToDate>false</LinksUpToDate>
  <CharactersWithSpaces>549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2020-09-03T00:40:00Z</dcterms:created>
  <dc:creator>张亚东</dc:creator>
  <cp:lastModifiedBy>Administrator</cp:lastModifiedBy>
  <dcterms:modified xsi:type="dcterms:W3CDTF">2022-04-26T06:38:16Z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