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pPr>
      <w:bookmarkStart w:id="0" w:name="_Toc11908"/>
    </w:p>
    <w:p>
      <w:pPr>
        <w:ind w:firstLine="0" w:firstLineChars="0"/>
        <w:jc w:val="center"/>
        <w:rPr>
          <w:rFonts w:ascii="宋体" w:hAnsi="宋体" w:eastAsia="宋体"/>
          <w:b/>
          <w:sz w:val="52"/>
          <w:szCs w:val="52"/>
        </w:rPr>
      </w:pPr>
    </w:p>
    <w:p>
      <w:pPr>
        <w:pStyle w:val="25"/>
        <w:rPr>
          <w:rFonts w:hint="eastAsia" w:ascii="宋体" w:hAnsi="宋体" w:cs="宋体"/>
          <w:sz w:val="52"/>
          <w:szCs w:val="52"/>
        </w:rPr>
      </w:pPr>
      <w:r>
        <w:rPr>
          <w:rFonts w:hint="eastAsia" w:ascii="宋体" w:hAnsi="宋体" w:cs="宋体"/>
          <w:sz w:val="52"/>
          <w:szCs w:val="52"/>
        </w:rPr>
        <w:t>统战特需费（党组织活动、文明单位创建活动经费）</w:t>
      </w:r>
    </w:p>
    <w:p>
      <w:pPr>
        <w:pStyle w:val="25"/>
        <w:rPr>
          <w:rFonts w:ascii="宋体" w:hAnsi="宋体" w:cs="宋体"/>
        </w:rPr>
      </w:pPr>
      <w:r>
        <w:rPr>
          <w:rFonts w:hint="eastAsia" w:ascii="宋体" w:hAnsi="宋体" w:cs="宋体"/>
          <w:sz w:val="52"/>
          <w:szCs w:val="52"/>
        </w:rPr>
        <w:t>项目支出绩效自评报告</w:t>
      </w:r>
    </w:p>
    <w:p>
      <w:pPr>
        <w:ind w:firstLine="0" w:firstLineChars="0"/>
        <w:jc w:val="center"/>
        <w:rPr>
          <w:rFonts w:ascii="宋体" w:hAnsi="宋体" w:eastAsia="宋体"/>
          <w:b/>
          <w:sz w:val="52"/>
          <w:szCs w:val="52"/>
        </w:rPr>
      </w:pPr>
    </w:p>
    <w:p>
      <w:pPr>
        <w:ind w:firstLine="0" w:firstLineChars="0"/>
        <w:jc w:val="center"/>
      </w:pPr>
    </w:p>
    <w:p>
      <w:pPr>
        <w:ind w:firstLine="0" w:firstLineChars="0"/>
        <w:jc w:val="center"/>
        <w:rPr>
          <w:rFonts w:ascii="宋体" w:hAnsi="宋体" w:eastAsia="宋体"/>
          <w:b/>
          <w:sz w:val="52"/>
          <w:szCs w:val="52"/>
        </w:rPr>
      </w:pPr>
    </w:p>
    <w:p>
      <w:pPr>
        <w:pStyle w:val="27"/>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bookmarkStart w:id="72" w:name="_GoBack"/>
      <w:bookmarkEnd w:id="72"/>
    </w:p>
    <w:p>
      <w:pPr>
        <w:ind w:firstLine="0" w:firstLineChars="0"/>
        <w:jc w:val="center"/>
        <w:rPr>
          <w:rFonts w:ascii="宋体" w:hAnsi="宋体" w:eastAsia="宋体"/>
          <w:b/>
          <w:sz w:val="36"/>
          <w:szCs w:val="36"/>
        </w:rPr>
      </w:pPr>
    </w:p>
    <w:p>
      <w:pPr>
        <w:ind w:firstLine="0" w:firstLineChars="0"/>
        <w:jc w:val="both"/>
        <w:rPr>
          <w:rFonts w:ascii="宋体" w:hAnsi="宋体" w:eastAsia="宋体"/>
          <w:b/>
          <w:sz w:val="36"/>
          <w:szCs w:val="36"/>
        </w:rPr>
      </w:pPr>
    </w:p>
    <w:p>
      <w:pPr>
        <w:ind w:firstLine="0" w:firstLineChars="0"/>
        <w:jc w:val="center"/>
        <w:rPr>
          <w:rFonts w:hint="eastAsia" w:ascii="宋体" w:hAnsi="宋体" w:eastAsia="宋体"/>
          <w:b/>
          <w:highlight w:val="none"/>
        </w:rPr>
      </w:pPr>
      <w:r>
        <w:rPr>
          <w:rFonts w:hint="eastAsia" w:ascii="宋体" w:hAnsi="宋体" w:eastAsia="宋体"/>
          <w:b/>
          <w:highlight w:val="none"/>
        </w:rPr>
        <w:t>自评单位：中共三门峡市委统一战线工作部</w:t>
      </w:r>
    </w:p>
    <w:p>
      <w:pPr>
        <w:ind w:firstLine="0" w:firstLineChars="0"/>
        <w:jc w:val="center"/>
        <w:rPr>
          <w:rFonts w:ascii="宋体" w:hAnsi="宋体" w:eastAsia="宋体"/>
          <w:b/>
          <w:highlight w:val="none"/>
        </w:rPr>
      </w:pPr>
      <w:r>
        <w:rPr>
          <w:rFonts w:hint="eastAsia" w:ascii="宋体" w:hAnsi="宋体" w:eastAsia="宋体"/>
          <w:b/>
          <w:highlight w:val="none"/>
        </w:rPr>
        <w:t>日    期：2022年5月6日</w:t>
      </w:r>
    </w:p>
    <w:p>
      <w:pPr>
        <w:pStyle w:val="11"/>
        <w:rPr>
          <w:highlight w:val="yellow"/>
        </w:rPr>
        <w:sectPr>
          <w:pgSz w:w="11906" w:h="16838"/>
          <w:pgMar w:top="1440" w:right="1800" w:bottom="1440" w:left="1800" w:header="851" w:footer="992" w:gutter="0"/>
          <w:cols w:space="425" w:num="1"/>
          <w:docGrid w:type="lines" w:linePitch="312" w:charSpace="0"/>
        </w:sectPr>
      </w:pPr>
    </w:p>
    <w:p>
      <w:pPr>
        <w:ind w:firstLine="0" w:firstLineChars="0"/>
        <w:jc w:val="center"/>
        <w:rPr>
          <w:b/>
          <w:bCs/>
          <w:highlight w:val="none"/>
        </w:rPr>
      </w:pPr>
      <w:r>
        <w:rPr>
          <w:rFonts w:hint="eastAsia"/>
          <w:b/>
          <w:bCs/>
          <w:sz w:val="36"/>
          <w:szCs w:val="36"/>
          <w:highlight w:val="none"/>
        </w:rPr>
        <w:t>目</w:t>
      </w:r>
      <w:r>
        <w:rPr>
          <w:b/>
          <w:bCs/>
          <w:sz w:val="36"/>
          <w:szCs w:val="36"/>
          <w:highlight w:val="none"/>
        </w:rPr>
        <w:t xml:space="preserve"> </w:t>
      </w:r>
      <w:r>
        <w:rPr>
          <w:rFonts w:hint="eastAsia"/>
          <w:b/>
          <w:bCs/>
          <w:sz w:val="36"/>
          <w:szCs w:val="36"/>
          <w:highlight w:val="none"/>
        </w:rPr>
        <w:t xml:space="preserve"> 录</w:t>
      </w:r>
    </w:p>
    <w:p>
      <w:pPr>
        <w:pStyle w:val="11"/>
        <w:tabs>
          <w:tab w:val="right" w:leader="dot" w:pos="8306"/>
          <w:tab w:val="clear" w:pos="8296"/>
        </w:tabs>
      </w:pPr>
      <w:r>
        <w:rPr>
          <w:highlight w:val="none"/>
        </w:rPr>
        <w:fldChar w:fldCharType="begin"/>
      </w:r>
      <w:r>
        <w:rPr>
          <w:highlight w:val="none"/>
        </w:rPr>
        <w:instrText xml:space="preserve">TOC \o "1-2" \h \u </w:instrText>
      </w:r>
      <w:r>
        <w:rPr>
          <w:highlight w:val="none"/>
        </w:rPr>
        <w:fldChar w:fldCharType="separate"/>
      </w:r>
      <w:r>
        <w:rPr>
          <w:highlight w:val="none"/>
        </w:rPr>
        <w:fldChar w:fldCharType="begin"/>
      </w:r>
      <w:r>
        <w:rPr>
          <w:highlight w:val="none"/>
        </w:rPr>
        <w:instrText xml:space="preserve"> HYPERLINK \l _Toc16938 </w:instrText>
      </w:r>
      <w:r>
        <w:rPr>
          <w:highlight w:val="none"/>
        </w:rPr>
        <w:fldChar w:fldCharType="separate"/>
      </w:r>
      <w:r>
        <w:rPr>
          <w:rFonts w:hint="eastAsia"/>
        </w:rPr>
        <w:t>一、项目基本情况</w:t>
      </w:r>
      <w:r>
        <w:tab/>
      </w:r>
      <w:r>
        <w:fldChar w:fldCharType="begin"/>
      </w:r>
      <w:r>
        <w:instrText xml:space="preserve"> PAGEREF _Toc16938 \h </w:instrText>
      </w:r>
      <w:r>
        <w:fldChar w:fldCharType="separate"/>
      </w:r>
      <w:r>
        <w:t>1</w:t>
      </w:r>
      <w:r>
        <w:fldChar w:fldCharType="end"/>
      </w:r>
      <w:r>
        <w:rPr>
          <w:highlight w:val="none"/>
        </w:rPr>
        <w:fldChar w:fldCharType="end"/>
      </w:r>
    </w:p>
    <w:p>
      <w:pPr>
        <w:pStyle w:val="12"/>
        <w:tabs>
          <w:tab w:val="right" w:leader="dot" w:pos="8306"/>
        </w:tabs>
      </w:pPr>
      <w:r>
        <w:rPr>
          <w:highlight w:val="none"/>
        </w:rPr>
        <w:fldChar w:fldCharType="begin"/>
      </w:r>
      <w:r>
        <w:rPr>
          <w:highlight w:val="none"/>
        </w:rPr>
        <w:instrText xml:space="preserve"> HYPERLINK \l _Toc634 </w:instrText>
      </w:r>
      <w:r>
        <w:rPr>
          <w:highlight w:val="none"/>
        </w:rPr>
        <w:fldChar w:fldCharType="separate"/>
      </w:r>
      <w:r>
        <w:rPr>
          <w:rFonts w:hint="eastAsia"/>
        </w:rPr>
        <w:t>（一）项目基本信息</w:t>
      </w:r>
      <w:r>
        <w:tab/>
      </w:r>
      <w:r>
        <w:fldChar w:fldCharType="begin"/>
      </w:r>
      <w:r>
        <w:instrText xml:space="preserve"> PAGEREF _Toc634 \h </w:instrText>
      </w:r>
      <w:r>
        <w:fldChar w:fldCharType="separate"/>
      </w:r>
      <w:r>
        <w:t>1</w:t>
      </w:r>
      <w:r>
        <w:fldChar w:fldCharType="end"/>
      </w:r>
      <w:r>
        <w:rPr>
          <w:highlight w:val="none"/>
        </w:rPr>
        <w:fldChar w:fldCharType="end"/>
      </w:r>
    </w:p>
    <w:p>
      <w:pPr>
        <w:pStyle w:val="12"/>
        <w:tabs>
          <w:tab w:val="right" w:leader="dot" w:pos="8306"/>
        </w:tabs>
      </w:pPr>
      <w:r>
        <w:rPr>
          <w:highlight w:val="none"/>
        </w:rPr>
        <w:fldChar w:fldCharType="begin"/>
      </w:r>
      <w:r>
        <w:rPr>
          <w:highlight w:val="none"/>
        </w:rPr>
        <w:instrText xml:space="preserve"> HYPERLINK \l _Toc15966 </w:instrText>
      </w:r>
      <w:r>
        <w:rPr>
          <w:highlight w:val="none"/>
        </w:rPr>
        <w:fldChar w:fldCharType="separate"/>
      </w:r>
      <w:r>
        <w:rPr>
          <w:rFonts w:hint="eastAsia"/>
        </w:rPr>
        <w:t>（二）项目支出情况</w:t>
      </w:r>
      <w:r>
        <w:tab/>
      </w:r>
      <w:r>
        <w:fldChar w:fldCharType="begin"/>
      </w:r>
      <w:r>
        <w:instrText xml:space="preserve"> PAGEREF _Toc15966 \h </w:instrText>
      </w:r>
      <w:r>
        <w:fldChar w:fldCharType="separate"/>
      </w:r>
      <w:r>
        <w:t>1</w:t>
      </w:r>
      <w:r>
        <w:fldChar w:fldCharType="end"/>
      </w:r>
      <w:r>
        <w:rPr>
          <w:highlight w:val="none"/>
        </w:rPr>
        <w:fldChar w:fldCharType="end"/>
      </w:r>
    </w:p>
    <w:p>
      <w:pPr>
        <w:pStyle w:val="11"/>
        <w:tabs>
          <w:tab w:val="right" w:leader="dot" w:pos="8306"/>
          <w:tab w:val="clear" w:pos="8296"/>
        </w:tabs>
      </w:pPr>
      <w:r>
        <w:rPr>
          <w:highlight w:val="none"/>
        </w:rPr>
        <w:fldChar w:fldCharType="begin"/>
      </w:r>
      <w:r>
        <w:rPr>
          <w:highlight w:val="none"/>
        </w:rPr>
        <w:instrText xml:space="preserve"> HYPERLINK \l _Toc14252 </w:instrText>
      </w:r>
      <w:r>
        <w:rPr>
          <w:highlight w:val="none"/>
        </w:rPr>
        <w:fldChar w:fldCharType="separate"/>
      </w:r>
      <w:r>
        <w:rPr>
          <w:rFonts w:hint="eastAsia"/>
        </w:rPr>
        <w:t>二、绩效自评工作开展情况</w:t>
      </w:r>
      <w:r>
        <w:tab/>
      </w:r>
      <w:r>
        <w:fldChar w:fldCharType="begin"/>
      </w:r>
      <w:r>
        <w:instrText xml:space="preserve"> PAGEREF _Toc14252 \h </w:instrText>
      </w:r>
      <w:r>
        <w:fldChar w:fldCharType="separate"/>
      </w:r>
      <w:r>
        <w:t>2</w:t>
      </w:r>
      <w:r>
        <w:fldChar w:fldCharType="end"/>
      </w:r>
      <w:r>
        <w:rPr>
          <w:highlight w:val="none"/>
        </w:rPr>
        <w:fldChar w:fldCharType="end"/>
      </w:r>
    </w:p>
    <w:p>
      <w:pPr>
        <w:pStyle w:val="12"/>
        <w:tabs>
          <w:tab w:val="right" w:leader="dot" w:pos="8306"/>
        </w:tabs>
      </w:pPr>
      <w:r>
        <w:rPr>
          <w:highlight w:val="none"/>
        </w:rPr>
        <w:fldChar w:fldCharType="begin"/>
      </w:r>
      <w:r>
        <w:rPr>
          <w:highlight w:val="none"/>
        </w:rPr>
        <w:instrText xml:space="preserve"> HYPERLINK \l _Toc6788 </w:instrText>
      </w:r>
      <w:r>
        <w:rPr>
          <w:highlight w:val="none"/>
        </w:rPr>
        <w:fldChar w:fldCharType="separate"/>
      </w:r>
      <w:r>
        <w:rPr>
          <w:rFonts w:hint="eastAsia"/>
        </w:rPr>
        <w:t>（一）绩效自评价目的和意义</w:t>
      </w:r>
      <w:r>
        <w:tab/>
      </w:r>
      <w:r>
        <w:fldChar w:fldCharType="begin"/>
      </w:r>
      <w:r>
        <w:instrText xml:space="preserve"> PAGEREF _Toc6788 \h </w:instrText>
      </w:r>
      <w:r>
        <w:fldChar w:fldCharType="separate"/>
      </w:r>
      <w:r>
        <w:t>2</w:t>
      </w:r>
      <w:r>
        <w:fldChar w:fldCharType="end"/>
      </w:r>
      <w:r>
        <w:rPr>
          <w:highlight w:val="none"/>
        </w:rPr>
        <w:fldChar w:fldCharType="end"/>
      </w:r>
    </w:p>
    <w:p>
      <w:pPr>
        <w:pStyle w:val="12"/>
        <w:tabs>
          <w:tab w:val="right" w:leader="dot" w:pos="8306"/>
        </w:tabs>
      </w:pPr>
      <w:r>
        <w:rPr>
          <w:highlight w:val="none"/>
        </w:rPr>
        <w:fldChar w:fldCharType="begin"/>
      </w:r>
      <w:r>
        <w:rPr>
          <w:highlight w:val="none"/>
        </w:rPr>
        <w:instrText xml:space="preserve"> HYPERLINK \l _Toc17572 </w:instrText>
      </w:r>
      <w:r>
        <w:rPr>
          <w:highlight w:val="none"/>
        </w:rPr>
        <w:fldChar w:fldCharType="separate"/>
      </w:r>
      <w:r>
        <w:rPr>
          <w:rFonts w:hint="eastAsia"/>
        </w:rPr>
        <w:t>（二）绩效自评价对象和范围</w:t>
      </w:r>
      <w:r>
        <w:tab/>
      </w:r>
      <w:r>
        <w:fldChar w:fldCharType="begin"/>
      </w:r>
      <w:r>
        <w:instrText xml:space="preserve"> PAGEREF _Toc17572 \h </w:instrText>
      </w:r>
      <w:r>
        <w:fldChar w:fldCharType="separate"/>
      </w:r>
      <w:r>
        <w:t>2</w:t>
      </w:r>
      <w:r>
        <w:fldChar w:fldCharType="end"/>
      </w:r>
      <w:r>
        <w:rPr>
          <w:highlight w:val="none"/>
        </w:rPr>
        <w:fldChar w:fldCharType="end"/>
      </w:r>
    </w:p>
    <w:p>
      <w:pPr>
        <w:pStyle w:val="12"/>
        <w:tabs>
          <w:tab w:val="right" w:leader="dot" w:pos="8306"/>
        </w:tabs>
      </w:pPr>
      <w:r>
        <w:rPr>
          <w:highlight w:val="none"/>
        </w:rPr>
        <w:fldChar w:fldCharType="begin"/>
      </w:r>
      <w:r>
        <w:rPr>
          <w:highlight w:val="none"/>
        </w:rPr>
        <w:instrText xml:space="preserve"> HYPERLINK \l _Toc20862 </w:instrText>
      </w:r>
      <w:r>
        <w:rPr>
          <w:highlight w:val="none"/>
        </w:rPr>
        <w:fldChar w:fldCharType="separate"/>
      </w:r>
      <w:r>
        <w:rPr>
          <w:rFonts w:hint="eastAsia"/>
          <w:highlight w:val="none"/>
        </w:rPr>
        <w:t>（三）绩效评价的依据</w:t>
      </w:r>
      <w:r>
        <w:tab/>
      </w:r>
      <w:r>
        <w:fldChar w:fldCharType="begin"/>
      </w:r>
      <w:r>
        <w:instrText xml:space="preserve"> PAGEREF _Toc20862 \h </w:instrText>
      </w:r>
      <w:r>
        <w:fldChar w:fldCharType="separate"/>
      </w:r>
      <w:r>
        <w:t>2</w:t>
      </w:r>
      <w:r>
        <w:fldChar w:fldCharType="end"/>
      </w:r>
      <w:r>
        <w:rPr>
          <w:highlight w:val="none"/>
        </w:rPr>
        <w:fldChar w:fldCharType="end"/>
      </w:r>
    </w:p>
    <w:p>
      <w:pPr>
        <w:pStyle w:val="12"/>
        <w:tabs>
          <w:tab w:val="right" w:leader="dot" w:pos="8306"/>
        </w:tabs>
      </w:pPr>
      <w:r>
        <w:rPr>
          <w:highlight w:val="none"/>
        </w:rPr>
        <w:fldChar w:fldCharType="begin"/>
      </w:r>
      <w:r>
        <w:rPr>
          <w:highlight w:val="none"/>
        </w:rPr>
        <w:instrText xml:space="preserve"> HYPERLINK \l _Toc16305 </w:instrText>
      </w:r>
      <w:r>
        <w:rPr>
          <w:highlight w:val="none"/>
        </w:rPr>
        <w:fldChar w:fldCharType="separate"/>
      </w:r>
      <w:r>
        <w:rPr>
          <w:rFonts w:hint="eastAsia"/>
        </w:rPr>
        <w:t>（四）评分方法</w:t>
      </w:r>
      <w:r>
        <w:tab/>
      </w:r>
      <w:r>
        <w:fldChar w:fldCharType="begin"/>
      </w:r>
      <w:r>
        <w:instrText xml:space="preserve"> PAGEREF _Toc16305 \h </w:instrText>
      </w:r>
      <w:r>
        <w:fldChar w:fldCharType="separate"/>
      </w:r>
      <w:r>
        <w:t>3</w:t>
      </w:r>
      <w:r>
        <w:fldChar w:fldCharType="end"/>
      </w:r>
      <w:r>
        <w:rPr>
          <w:highlight w:val="none"/>
        </w:rPr>
        <w:fldChar w:fldCharType="end"/>
      </w:r>
    </w:p>
    <w:p>
      <w:pPr>
        <w:pStyle w:val="12"/>
        <w:tabs>
          <w:tab w:val="right" w:leader="dot" w:pos="8306"/>
        </w:tabs>
      </w:pPr>
      <w:r>
        <w:rPr>
          <w:highlight w:val="none"/>
        </w:rPr>
        <w:fldChar w:fldCharType="begin"/>
      </w:r>
      <w:r>
        <w:rPr>
          <w:highlight w:val="none"/>
        </w:rPr>
        <w:instrText xml:space="preserve"> HYPERLINK \l _Toc21385 </w:instrText>
      </w:r>
      <w:r>
        <w:rPr>
          <w:highlight w:val="none"/>
        </w:rPr>
        <w:fldChar w:fldCharType="separate"/>
      </w:r>
      <w:r>
        <w:rPr>
          <w:rFonts w:hint="eastAsia"/>
        </w:rPr>
        <w:t>（五）绩效自评工作组织</w:t>
      </w:r>
      <w:r>
        <w:tab/>
      </w:r>
      <w:r>
        <w:fldChar w:fldCharType="begin"/>
      </w:r>
      <w:r>
        <w:instrText xml:space="preserve"> PAGEREF _Toc21385 \h </w:instrText>
      </w:r>
      <w:r>
        <w:fldChar w:fldCharType="separate"/>
      </w:r>
      <w:r>
        <w:t>4</w:t>
      </w:r>
      <w:r>
        <w:fldChar w:fldCharType="end"/>
      </w:r>
      <w:r>
        <w:rPr>
          <w:highlight w:val="none"/>
        </w:rPr>
        <w:fldChar w:fldCharType="end"/>
      </w:r>
    </w:p>
    <w:p>
      <w:pPr>
        <w:pStyle w:val="11"/>
        <w:tabs>
          <w:tab w:val="right" w:leader="dot" w:pos="8306"/>
          <w:tab w:val="clear" w:pos="8296"/>
        </w:tabs>
      </w:pPr>
      <w:r>
        <w:rPr>
          <w:highlight w:val="none"/>
        </w:rPr>
        <w:fldChar w:fldCharType="begin"/>
      </w:r>
      <w:r>
        <w:rPr>
          <w:highlight w:val="none"/>
        </w:rPr>
        <w:instrText xml:space="preserve"> HYPERLINK \l _Toc26267 </w:instrText>
      </w:r>
      <w:r>
        <w:rPr>
          <w:highlight w:val="none"/>
        </w:rPr>
        <w:fldChar w:fldCharType="separate"/>
      </w:r>
      <w:r>
        <w:rPr>
          <w:rFonts w:hint="eastAsia"/>
        </w:rPr>
        <w:t>三、绩效自评结果及分析</w:t>
      </w:r>
      <w:r>
        <w:tab/>
      </w:r>
      <w:r>
        <w:fldChar w:fldCharType="begin"/>
      </w:r>
      <w:r>
        <w:instrText xml:space="preserve"> PAGEREF _Toc26267 \h </w:instrText>
      </w:r>
      <w:r>
        <w:fldChar w:fldCharType="separate"/>
      </w:r>
      <w:r>
        <w:t>4</w:t>
      </w:r>
      <w:r>
        <w:fldChar w:fldCharType="end"/>
      </w:r>
      <w:r>
        <w:rPr>
          <w:highlight w:val="none"/>
        </w:rPr>
        <w:fldChar w:fldCharType="end"/>
      </w:r>
    </w:p>
    <w:p>
      <w:pPr>
        <w:pStyle w:val="12"/>
        <w:tabs>
          <w:tab w:val="right" w:leader="dot" w:pos="8306"/>
        </w:tabs>
      </w:pPr>
      <w:r>
        <w:rPr>
          <w:highlight w:val="none"/>
        </w:rPr>
        <w:fldChar w:fldCharType="begin"/>
      </w:r>
      <w:r>
        <w:rPr>
          <w:highlight w:val="none"/>
        </w:rPr>
        <w:instrText xml:space="preserve"> HYPERLINK \l _Toc17350 </w:instrText>
      </w:r>
      <w:r>
        <w:rPr>
          <w:highlight w:val="none"/>
        </w:rPr>
        <w:fldChar w:fldCharType="separate"/>
      </w:r>
      <w:r>
        <w:t>（一）绩效自评价结果</w:t>
      </w:r>
      <w:r>
        <w:tab/>
      </w:r>
      <w:r>
        <w:fldChar w:fldCharType="begin"/>
      </w:r>
      <w:r>
        <w:instrText xml:space="preserve"> PAGEREF _Toc17350 \h </w:instrText>
      </w:r>
      <w:r>
        <w:fldChar w:fldCharType="separate"/>
      </w:r>
      <w:r>
        <w:t>4</w:t>
      </w:r>
      <w:r>
        <w:fldChar w:fldCharType="end"/>
      </w:r>
      <w:r>
        <w:rPr>
          <w:highlight w:val="none"/>
        </w:rPr>
        <w:fldChar w:fldCharType="end"/>
      </w:r>
    </w:p>
    <w:p>
      <w:pPr>
        <w:pStyle w:val="12"/>
        <w:tabs>
          <w:tab w:val="right" w:leader="dot" w:pos="8306"/>
        </w:tabs>
      </w:pPr>
      <w:r>
        <w:rPr>
          <w:highlight w:val="none"/>
        </w:rPr>
        <w:fldChar w:fldCharType="begin"/>
      </w:r>
      <w:r>
        <w:rPr>
          <w:highlight w:val="none"/>
        </w:rPr>
        <w:instrText xml:space="preserve"> HYPERLINK \l _Toc8853 </w:instrText>
      </w:r>
      <w:r>
        <w:rPr>
          <w:highlight w:val="none"/>
        </w:rPr>
        <w:fldChar w:fldCharType="separate"/>
      </w:r>
      <w:r>
        <w:rPr>
          <w:rFonts w:hint="eastAsia"/>
        </w:rPr>
        <w:t>（二）自评指标分析</w:t>
      </w:r>
      <w:r>
        <w:tab/>
      </w:r>
      <w:r>
        <w:fldChar w:fldCharType="begin"/>
      </w:r>
      <w:r>
        <w:instrText xml:space="preserve"> PAGEREF _Toc8853 \h </w:instrText>
      </w:r>
      <w:r>
        <w:fldChar w:fldCharType="separate"/>
      </w:r>
      <w:r>
        <w:t>6</w:t>
      </w:r>
      <w:r>
        <w:fldChar w:fldCharType="end"/>
      </w:r>
      <w:r>
        <w:rPr>
          <w:highlight w:val="none"/>
        </w:rPr>
        <w:fldChar w:fldCharType="end"/>
      </w:r>
    </w:p>
    <w:p>
      <w:pPr>
        <w:pStyle w:val="11"/>
        <w:tabs>
          <w:tab w:val="right" w:leader="dot" w:pos="8306"/>
          <w:tab w:val="clear" w:pos="8296"/>
        </w:tabs>
      </w:pPr>
      <w:r>
        <w:rPr>
          <w:highlight w:val="none"/>
        </w:rPr>
        <w:fldChar w:fldCharType="begin"/>
      </w:r>
      <w:r>
        <w:rPr>
          <w:highlight w:val="none"/>
        </w:rPr>
        <w:instrText xml:space="preserve"> HYPERLINK \l _Toc14051 </w:instrText>
      </w:r>
      <w:r>
        <w:rPr>
          <w:highlight w:val="none"/>
        </w:rPr>
        <w:fldChar w:fldCharType="separate"/>
      </w:r>
      <w:r>
        <w:rPr>
          <w:rFonts w:hint="eastAsia"/>
        </w:rPr>
        <w:t>四、成果和问题</w:t>
      </w:r>
      <w:r>
        <w:tab/>
      </w:r>
      <w:r>
        <w:fldChar w:fldCharType="begin"/>
      </w:r>
      <w:r>
        <w:instrText xml:space="preserve"> PAGEREF _Toc14051 \h </w:instrText>
      </w:r>
      <w:r>
        <w:fldChar w:fldCharType="separate"/>
      </w:r>
      <w:r>
        <w:t>9</w:t>
      </w:r>
      <w:r>
        <w:fldChar w:fldCharType="end"/>
      </w:r>
      <w:r>
        <w:rPr>
          <w:highlight w:val="none"/>
        </w:rPr>
        <w:fldChar w:fldCharType="end"/>
      </w:r>
    </w:p>
    <w:p>
      <w:pPr>
        <w:pStyle w:val="12"/>
        <w:tabs>
          <w:tab w:val="right" w:leader="dot" w:pos="8306"/>
        </w:tabs>
      </w:pPr>
      <w:r>
        <w:rPr>
          <w:highlight w:val="none"/>
        </w:rPr>
        <w:fldChar w:fldCharType="begin"/>
      </w:r>
      <w:r>
        <w:rPr>
          <w:highlight w:val="none"/>
        </w:rPr>
        <w:instrText xml:space="preserve"> HYPERLINK \l _Toc27829 </w:instrText>
      </w:r>
      <w:r>
        <w:rPr>
          <w:highlight w:val="none"/>
        </w:rPr>
        <w:fldChar w:fldCharType="separate"/>
      </w:r>
      <w:r>
        <w:rPr>
          <w:rFonts w:hint="eastAsia"/>
        </w:rPr>
        <w:t>（一）项目实施的成果</w:t>
      </w:r>
      <w:r>
        <w:tab/>
      </w:r>
      <w:r>
        <w:fldChar w:fldCharType="begin"/>
      </w:r>
      <w:r>
        <w:instrText xml:space="preserve"> PAGEREF _Toc27829 \h </w:instrText>
      </w:r>
      <w:r>
        <w:fldChar w:fldCharType="separate"/>
      </w:r>
      <w:r>
        <w:t>9</w:t>
      </w:r>
      <w:r>
        <w:fldChar w:fldCharType="end"/>
      </w:r>
      <w:r>
        <w:rPr>
          <w:highlight w:val="none"/>
        </w:rPr>
        <w:fldChar w:fldCharType="end"/>
      </w:r>
    </w:p>
    <w:p>
      <w:pPr>
        <w:pStyle w:val="12"/>
        <w:tabs>
          <w:tab w:val="right" w:leader="dot" w:pos="8306"/>
        </w:tabs>
      </w:pPr>
      <w:r>
        <w:rPr>
          <w:highlight w:val="none"/>
        </w:rPr>
        <w:fldChar w:fldCharType="begin"/>
      </w:r>
      <w:r>
        <w:rPr>
          <w:highlight w:val="none"/>
        </w:rPr>
        <w:instrText xml:space="preserve"> HYPERLINK \l _Toc9279 </w:instrText>
      </w:r>
      <w:r>
        <w:rPr>
          <w:highlight w:val="none"/>
        </w:rPr>
        <w:fldChar w:fldCharType="separate"/>
      </w:r>
      <w:r>
        <w:rPr>
          <w:rFonts w:hint="eastAsia"/>
        </w:rPr>
        <w:t>（二）项目存在的问题</w:t>
      </w:r>
      <w:r>
        <w:tab/>
      </w:r>
      <w:r>
        <w:fldChar w:fldCharType="begin"/>
      </w:r>
      <w:r>
        <w:instrText xml:space="preserve"> PAGEREF _Toc9279 \h </w:instrText>
      </w:r>
      <w:r>
        <w:fldChar w:fldCharType="separate"/>
      </w:r>
      <w:r>
        <w:t>9</w:t>
      </w:r>
      <w:r>
        <w:fldChar w:fldCharType="end"/>
      </w:r>
      <w:r>
        <w:rPr>
          <w:highlight w:val="none"/>
        </w:rPr>
        <w:fldChar w:fldCharType="end"/>
      </w:r>
    </w:p>
    <w:p>
      <w:pPr>
        <w:pStyle w:val="11"/>
        <w:tabs>
          <w:tab w:val="right" w:leader="dot" w:pos="8306"/>
          <w:tab w:val="clear" w:pos="8296"/>
        </w:tabs>
      </w:pPr>
      <w:r>
        <w:rPr>
          <w:highlight w:val="none"/>
        </w:rPr>
        <w:fldChar w:fldCharType="begin"/>
      </w:r>
      <w:r>
        <w:rPr>
          <w:highlight w:val="none"/>
        </w:rPr>
        <w:instrText xml:space="preserve"> HYPERLINK \l _Toc7952 </w:instrText>
      </w:r>
      <w:r>
        <w:rPr>
          <w:highlight w:val="none"/>
        </w:rPr>
        <w:fldChar w:fldCharType="separate"/>
      </w:r>
      <w:r>
        <w:rPr>
          <w:rFonts w:hint="eastAsia"/>
          <w:highlight w:val="none"/>
        </w:rPr>
        <w:t>五、建议</w:t>
      </w:r>
      <w:r>
        <w:tab/>
      </w:r>
      <w:r>
        <w:fldChar w:fldCharType="begin"/>
      </w:r>
      <w:r>
        <w:instrText xml:space="preserve"> PAGEREF _Toc7952 \h </w:instrText>
      </w:r>
      <w:r>
        <w:fldChar w:fldCharType="separate"/>
      </w:r>
      <w:r>
        <w:t>10</w:t>
      </w:r>
      <w:r>
        <w:fldChar w:fldCharType="end"/>
      </w:r>
      <w:r>
        <w:rPr>
          <w:highlight w:val="none"/>
        </w:rPr>
        <w:fldChar w:fldCharType="end"/>
      </w:r>
    </w:p>
    <w:p>
      <w:pPr>
        <w:pStyle w:val="12"/>
        <w:tabs>
          <w:tab w:val="right" w:leader="dot" w:pos="8306"/>
        </w:tabs>
      </w:pPr>
      <w:r>
        <w:rPr>
          <w:highlight w:val="none"/>
        </w:rPr>
        <w:fldChar w:fldCharType="begin"/>
      </w:r>
      <w:r>
        <w:rPr>
          <w:highlight w:val="none"/>
        </w:rPr>
        <w:instrText xml:space="preserve"> HYPERLINK \l _Toc1279 </w:instrText>
      </w:r>
      <w:r>
        <w:rPr>
          <w:highlight w:val="none"/>
        </w:rPr>
        <w:fldChar w:fldCharType="separate"/>
      </w:r>
      <w:r>
        <w:rPr>
          <w:rFonts w:hint="eastAsia"/>
          <w:highlight w:val="none"/>
        </w:rPr>
        <w:t>（一）强化预算绩效管理意识，提升项目产出效益</w:t>
      </w:r>
      <w:r>
        <w:tab/>
      </w:r>
      <w:r>
        <w:fldChar w:fldCharType="begin"/>
      </w:r>
      <w:r>
        <w:instrText xml:space="preserve"> PAGEREF _Toc1279 \h </w:instrText>
      </w:r>
      <w:r>
        <w:fldChar w:fldCharType="separate"/>
      </w:r>
      <w:r>
        <w:t>10</w:t>
      </w:r>
      <w:r>
        <w:fldChar w:fldCharType="end"/>
      </w:r>
      <w:r>
        <w:rPr>
          <w:highlight w:val="none"/>
        </w:rPr>
        <w:fldChar w:fldCharType="end"/>
      </w:r>
    </w:p>
    <w:p>
      <w:pPr>
        <w:pStyle w:val="12"/>
        <w:tabs>
          <w:tab w:val="right" w:leader="dot" w:pos="8306"/>
        </w:tabs>
      </w:pPr>
      <w:r>
        <w:rPr>
          <w:highlight w:val="none"/>
        </w:rPr>
        <w:fldChar w:fldCharType="begin"/>
      </w:r>
      <w:r>
        <w:rPr>
          <w:highlight w:val="none"/>
        </w:rPr>
        <w:instrText xml:space="preserve"> HYPERLINK \l _Toc24569 </w:instrText>
      </w:r>
      <w:r>
        <w:rPr>
          <w:highlight w:val="none"/>
        </w:rPr>
        <w:fldChar w:fldCharType="separate"/>
      </w:r>
      <w:r>
        <w:rPr>
          <w:rFonts w:hint="eastAsia"/>
          <w:highlight w:val="none"/>
        </w:rPr>
        <w:t>（二）加强学习培训，进一步提高绩效管理水平</w:t>
      </w:r>
      <w:r>
        <w:tab/>
      </w:r>
      <w:r>
        <w:fldChar w:fldCharType="begin"/>
      </w:r>
      <w:r>
        <w:instrText xml:space="preserve"> PAGEREF _Toc24569 \h </w:instrText>
      </w:r>
      <w:r>
        <w:fldChar w:fldCharType="separate"/>
      </w:r>
      <w:r>
        <w:t>10</w:t>
      </w:r>
      <w:r>
        <w:fldChar w:fldCharType="end"/>
      </w:r>
      <w:r>
        <w:rPr>
          <w:highlight w:val="none"/>
        </w:rPr>
        <w:fldChar w:fldCharType="end"/>
      </w:r>
    </w:p>
    <w:p>
      <w:pPr>
        <w:pStyle w:val="11"/>
        <w:tabs>
          <w:tab w:val="right" w:leader="dot" w:pos="8306"/>
          <w:tab w:val="clear" w:pos="8296"/>
        </w:tabs>
      </w:pPr>
      <w:r>
        <w:rPr>
          <w:highlight w:val="none"/>
        </w:rPr>
        <w:fldChar w:fldCharType="begin"/>
      </w:r>
      <w:r>
        <w:rPr>
          <w:highlight w:val="none"/>
        </w:rPr>
        <w:instrText xml:space="preserve"> HYPERLINK \l _Toc14570 </w:instrText>
      </w:r>
      <w:r>
        <w:rPr>
          <w:highlight w:val="none"/>
        </w:rPr>
        <w:fldChar w:fldCharType="separate"/>
      </w:r>
      <w:r>
        <w:rPr>
          <w:rFonts w:hint="eastAsia"/>
          <w:highlight w:val="none"/>
        </w:rPr>
        <w:t>六、其他需要说明的问题</w:t>
      </w:r>
      <w:r>
        <w:tab/>
      </w:r>
      <w:r>
        <w:fldChar w:fldCharType="begin"/>
      </w:r>
      <w:r>
        <w:instrText xml:space="preserve"> PAGEREF _Toc14570 \h </w:instrText>
      </w:r>
      <w:r>
        <w:fldChar w:fldCharType="separate"/>
      </w:r>
      <w:r>
        <w:t>10</w:t>
      </w:r>
      <w:r>
        <w:fldChar w:fldCharType="end"/>
      </w:r>
      <w:r>
        <w:rPr>
          <w:highlight w:val="none"/>
        </w:rPr>
        <w:fldChar w:fldCharType="end"/>
      </w:r>
    </w:p>
    <w:p>
      <w:pPr>
        <w:pStyle w:val="11"/>
        <w:tabs>
          <w:tab w:val="right" w:leader="dot" w:pos="8306"/>
          <w:tab w:val="clear" w:pos="8296"/>
        </w:tabs>
      </w:pPr>
      <w:r>
        <w:rPr>
          <w:highlight w:val="none"/>
        </w:rPr>
        <w:fldChar w:fldCharType="begin"/>
      </w:r>
      <w:r>
        <w:rPr>
          <w:highlight w:val="none"/>
        </w:rPr>
        <w:instrText xml:space="preserve"> HYPERLINK \l _Toc32750 </w:instrText>
      </w:r>
      <w:r>
        <w:rPr>
          <w:highlight w:val="none"/>
        </w:rPr>
        <w:fldChar w:fldCharType="separate"/>
      </w:r>
      <w:r>
        <w:rPr>
          <w:rFonts w:hint="eastAsia"/>
          <w:highlight w:val="none"/>
        </w:rPr>
        <w:t>七、附件</w:t>
      </w:r>
      <w:r>
        <w:tab/>
      </w:r>
      <w:r>
        <w:fldChar w:fldCharType="begin"/>
      </w:r>
      <w:r>
        <w:instrText xml:space="preserve"> PAGEREF _Toc32750 \h </w:instrText>
      </w:r>
      <w:r>
        <w:fldChar w:fldCharType="separate"/>
      </w:r>
      <w:r>
        <w:t>10</w:t>
      </w:r>
      <w:r>
        <w:fldChar w:fldCharType="end"/>
      </w:r>
      <w:r>
        <w:rPr>
          <w:highlight w:val="none"/>
        </w:rPr>
        <w:fldChar w:fldCharType="end"/>
      </w:r>
    </w:p>
    <w:p>
      <w:pPr>
        <w:ind w:firstLine="640"/>
        <w:sectPr>
          <w:footerReference r:id="rId5" w:type="default"/>
          <w:pgSz w:w="11906" w:h="16838"/>
          <w:pgMar w:top="1440" w:right="1800" w:bottom="1440" w:left="1800" w:header="851" w:footer="737" w:gutter="0"/>
          <w:pgNumType w:fmt="upperRoman" w:start="1"/>
          <w:cols w:space="425" w:num="1"/>
          <w:docGrid w:type="lines" w:linePitch="312" w:charSpace="0"/>
        </w:sectPr>
      </w:pPr>
      <w:r>
        <w:rPr>
          <w:highlight w:val="none"/>
        </w:rPr>
        <w:fldChar w:fldCharType="end"/>
      </w:r>
    </w:p>
    <w:p>
      <w:pPr>
        <w:pStyle w:val="3"/>
      </w:pPr>
      <w:bookmarkStart w:id="1" w:name="_Toc16938"/>
      <w:bookmarkStart w:id="2" w:name="_Toc79333430"/>
      <w:r>
        <w:rPr>
          <w:rFonts w:hint="eastAsia"/>
        </w:rPr>
        <w:t>一、项目基本情况</w:t>
      </w:r>
      <w:bookmarkEnd w:id="0"/>
      <w:bookmarkEnd w:id="1"/>
      <w:bookmarkEnd w:id="2"/>
    </w:p>
    <w:p>
      <w:pPr>
        <w:pStyle w:val="4"/>
      </w:pPr>
      <w:bookmarkStart w:id="3" w:name="_Toc634"/>
      <w:bookmarkStart w:id="4" w:name="_Toc8110"/>
      <w:bookmarkStart w:id="5" w:name="_Toc79333431"/>
      <w:r>
        <w:rPr>
          <w:rFonts w:hint="eastAsia"/>
        </w:rPr>
        <w:t>（一）项目基本信息</w:t>
      </w:r>
      <w:bookmarkEnd w:id="3"/>
      <w:bookmarkEnd w:id="4"/>
      <w:bookmarkEnd w:id="5"/>
    </w:p>
    <w:p>
      <w:pPr>
        <w:pStyle w:val="5"/>
        <w:ind w:firstLine="643"/>
        <w:rPr>
          <w:rFonts w:hint="eastAsia" w:eastAsia="仿宋"/>
          <w:highlight w:val="none"/>
          <w:lang w:val="en-US" w:eastAsia="zh-CN"/>
        </w:rPr>
      </w:pPr>
      <w:bookmarkStart w:id="6" w:name="_Toc79333432"/>
      <w:r>
        <w:rPr>
          <w:rFonts w:hint="eastAsia"/>
          <w:highlight w:val="none"/>
        </w:rPr>
        <w:t>1、项目背景</w:t>
      </w:r>
      <w:bookmarkEnd w:id="6"/>
    </w:p>
    <w:p>
      <w:pPr>
        <w:ind w:firstLine="640"/>
        <w:rPr>
          <w:rFonts w:hint="eastAsia"/>
          <w:color w:val="auto"/>
          <w:highlight w:val="none"/>
        </w:rPr>
      </w:pPr>
      <w:r>
        <w:rPr>
          <w:rFonts w:hint="eastAsia"/>
          <w:color w:val="auto"/>
          <w:highlight w:val="none"/>
        </w:rPr>
        <w:t>贯彻落实党对统一战线工作集中统一领导的要求，发挥市委在统一战线工作方面的参谋机构、组织协调机构、具体执行机构、督促检查机构作用。贯彻落实党中央、省委、市委关于统一战线工作的决策部署，了解情况、掌握政策、协调关系、安排人事、增进共识、加强团结，协调统一战线各方面关系，巩固壮大最广泛的统一战线。</w:t>
      </w:r>
    </w:p>
    <w:p>
      <w:pPr>
        <w:pStyle w:val="5"/>
        <w:ind w:firstLine="643"/>
        <w:rPr>
          <w:rFonts w:hint="eastAsia"/>
          <w:highlight w:val="none"/>
          <w:lang w:val="en-US" w:eastAsia="zh-CN"/>
        </w:rPr>
      </w:pPr>
      <w:r>
        <w:rPr>
          <w:rFonts w:hint="eastAsia"/>
          <w:highlight w:val="none"/>
          <w:lang w:val="en-US" w:eastAsia="zh-CN"/>
        </w:rPr>
        <w:t>2、</w:t>
      </w:r>
      <w:r>
        <w:rPr>
          <w:rFonts w:hint="eastAsia"/>
          <w:highlight w:val="none"/>
        </w:rPr>
        <w:t>项目实施内容</w:t>
      </w:r>
    </w:p>
    <w:p>
      <w:pPr>
        <w:ind w:firstLine="640"/>
        <w:rPr>
          <w:rFonts w:hint="default" w:eastAsia="仿宋"/>
          <w:color w:val="auto"/>
          <w:highlight w:val="none"/>
          <w:lang w:val="en-US" w:eastAsia="zh-CN"/>
        </w:rPr>
      </w:pPr>
      <w:r>
        <w:rPr>
          <w:rFonts w:hint="eastAsia"/>
          <w:color w:val="auto"/>
          <w:highlight w:val="none"/>
          <w:lang w:val="en-US" w:eastAsia="zh-CN"/>
        </w:rPr>
        <w:t>为</w:t>
      </w:r>
      <w:r>
        <w:rPr>
          <w:rFonts w:hint="eastAsia"/>
          <w:color w:val="auto"/>
          <w:highlight w:val="none"/>
        </w:rPr>
        <w:t>深入学习贯彻习近平新时代中国特色社会主义思想和党的十九大精神，不断巩固统一战线共同思想政治基础</w:t>
      </w:r>
      <w:r>
        <w:rPr>
          <w:rFonts w:hint="eastAsia"/>
          <w:color w:val="auto"/>
          <w:highlight w:val="none"/>
          <w:lang w:eastAsia="zh-CN"/>
        </w:rPr>
        <w:t>，</w:t>
      </w:r>
      <w:r>
        <w:rPr>
          <w:rFonts w:hint="eastAsia"/>
          <w:color w:val="auto"/>
          <w:highlight w:val="none"/>
        </w:rPr>
        <w:t>落实党中央、省委、市委关于统一战线工作的决策部署</w:t>
      </w:r>
      <w:r>
        <w:rPr>
          <w:rFonts w:hint="eastAsia"/>
          <w:color w:val="auto"/>
          <w:highlight w:val="none"/>
          <w:lang w:eastAsia="zh-CN"/>
        </w:rPr>
        <w:t>，</w:t>
      </w:r>
      <w:r>
        <w:rPr>
          <w:rFonts w:hint="eastAsia"/>
          <w:color w:val="auto"/>
          <w:highlight w:val="none"/>
          <w:lang w:val="en-US" w:eastAsia="zh-CN"/>
        </w:rPr>
        <w:t>完成</w:t>
      </w:r>
      <w:r>
        <w:rPr>
          <w:rFonts w:hint="eastAsia"/>
          <w:color w:val="auto"/>
          <w:highlight w:val="none"/>
        </w:rPr>
        <w:t>开展召开统战工作会议</w:t>
      </w:r>
      <w:r>
        <w:rPr>
          <w:rFonts w:hint="eastAsia"/>
          <w:color w:val="auto"/>
          <w:highlight w:val="none"/>
          <w:lang w:val="en-US" w:eastAsia="zh-CN"/>
        </w:rPr>
        <w:t>1次，集体培训学习1次及不定期开展党建活动、创文活动等。</w:t>
      </w:r>
    </w:p>
    <w:p>
      <w:pPr>
        <w:pStyle w:val="4"/>
      </w:pPr>
      <w:bookmarkStart w:id="7" w:name="_Toc15966"/>
      <w:bookmarkStart w:id="8" w:name="_Toc79333434"/>
      <w:bookmarkStart w:id="9" w:name="_Toc14372"/>
      <w:r>
        <w:rPr>
          <w:rFonts w:hint="eastAsia"/>
        </w:rPr>
        <w:t>（二）项目支出情况</w:t>
      </w:r>
      <w:bookmarkEnd w:id="7"/>
      <w:bookmarkEnd w:id="8"/>
      <w:bookmarkEnd w:id="9"/>
    </w:p>
    <w:p>
      <w:pPr>
        <w:pStyle w:val="5"/>
        <w:ind w:firstLine="643"/>
      </w:pPr>
      <w:bookmarkStart w:id="10" w:name="_Toc79333435"/>
      <w:bookmarkStart w:id="11" w:name="_Toc28118"/>
      <w:r>
        <w:rPr>
          <w:rFonts w:hint="eastAsia"/>
        </w:rPr>
        <w:t>1、项目预算情况</w:t>
      </w:r>
      <w:bookmarkEnd w:id="10"/>
      <w:bookmarkEnd w:id="11"/>
    </w:p>
    <w:p>
      <w:pPr>
        <w:ind w:firstLine="640"/>
        <w:rPr>
          <w:highlight w:val="none"/>
        </w:rPr>
      </w:pPr>
      <w:r>
        <w:rPr>
          <w:rFonts w:hint="eastAsia"/>
          <w:highlight w:val="none"/>
        </w:rPr>
        <w:t>项目于2</w:t>
      </w:r>
      <w:r>
        <w:rPr>
          <w:highlight w:val="none"/>
        </w:rPr>
        <w:t>02</w:t>
      </w:r>
      <w:r>
        <w:rPr>
          <w:rFonts w:hint="eastAsia"/>
          <w:highlight w:val="none"/>
        </w:rPr>
        <w:t>1年共申请财政资金</w:t>
      </w:r>
      <w:r>
        <w:rPr>
          <w:rFonts w:hint="eastAsia"/>
          <w:highlight w:val="none"/>
          <w:lang w:val="en-US" w:eastAsia="zh-CN"/>
        </w:rPr>
        <w:t>45</w:t>
      </w:r>
      <w:r>
        <w:rPr>
          <w:rFonts w:hint="eastAsia"/>
          <w:highlight w:val="none"/>
        </w:rPr>
        <w:t>万元，当年实际执行</w:t>
      </w:r>
      <w:r>
        <w:rPr>
          <w:rFonts w:hint="eastAsia"/>
          <w:highlight w:val="none"/>
          <w:lang w:val="en-US" w:eastAsia="zh-CN"/>
        </w:rPr>
        <w:t>38.31</w:t>
      </w:r>
      <w:r>
        <w:rPr>
          <w:rFonts w:hint="eastAsia"/>
          <w:highlight w:val="none"/>
        </w:rPr>
        <w:t>万元。</w:t>
      </w:r>
    </w:p>
    <w:p>
      <w:pPr>
        <w:pStyle w:val="5"/>
        <w:ind w:firstLine="643"/>
      </w:pPr>
      <w:bookmarkStart w:id="12" w:name="_Toc18098"/>
      <w:bookmarkStart w:id="13" w:name="_Toc79333436"/>
      <w:r>
        <w:rPr>
          <w:rFonts w:hint="eastAsia"/>
        </w:rPr>
        <w:t>2、项目预算执行情况</w:t>
      </w:r>
      <w:bookmarkEnd w:id="12"/>
      <w:bookmarkEnd w:id="13"/>
    </w:p>
    <w:p>
      <w:pPr>
        <w:ind w:firstLine="640"/>
        <w:jc w:val="left"/>
        <w:rPr>
          <w:highlight w:val="none"/>
        </w:rPr>
      </w:pPr>
      <w:r>
        <w:rPr>
          <w:rFonts w:hint="eastAsia"/>
          <w:highlight w:val="none"/>
        </w:rPr>
        <w:t>项目全年预算财政资金为</w:t>
      </w:r>
      <w:r>
        <w:rPr>
          <w:rFonts w:hint="eastAsia"/>
          <w:highlight w:val="none"/>
          <w:lang w:val="en-US" w:eastAsia="zh-CN"/>
        </w:rPr>
        <w:t>38.31</w:t>
      </w:r>
      <w:r>
        <w:rPr>
          <w:rFonts w:hint="eastAsia"/>
          <w:highlight w:val="none"/>
        </w:rPr>
        <w:t>万元，实际支出</w:t>
      </w:r>
      <w:r>
        <w:rPr>
          <w:rFonts w:hint="eastAsia"/>
          <w:highlight w:val="none"/>
          <w:lang w:val="en-US" w:eastAsia="zh-CN"/>
        </w:rPr>
        <w:t>38.31</w:t>
      </w:r>
      <w:r>
        <w:rPr>
          <w:rFonts w:hint="eastAsia"/>
          <w:highlight w:val="none"/>
        </w:rPr>
        <w:t>万元，执行率100%。</w:t>
      </w:r>
    </w:p>
    <w:p>
      <w:pPr>
        <w:pStyle w:val="3"/>
      </w:pPr>
      <w:bookmarkStart w:id="14" w:name="_Toc14252"/>
      <w:bookmarkStart w:id="15" w:name="_Toc10420"/>
      <w:bookmarkStart w:id="16" w:name="_Toc79333437"/>
      <w:bookmarkStart w:id="17" w:name="_Toc75871361"/>
      <w:r>
        <w:rPr>
          <w:rFonts w:hint="eastAsia"/>
        </w:rPr>
        <w:t>二、绩效自评工作开展情况</w:t>
      </w:r>
      <w:bookmarkEnd w:id="14"/>
      <w:bookmarkEnd w:id="15"/>
      <w:bookmarkEnd w:id="16"/>
      <w:bookmarkEnd w:id="17"/>
    </w:p>
    <w:p>
      <w:pPr>
        <w:pStyle w:val="4"/>
      </w:pPr>
      <w:bookmarkStart w:id="18" w:name="_Toc75871362"/>
      <w:bookmarkStart w:id="19" w:name="_Toc79333438"/>
      <w:bookmarkStart w:id="20" w:name="_Toc6788"/>
      <w:r>
        <w:rPr>
          <w:rFonts w:hint="eastAsia"/>
        </w:rPr>
        <w:t>（一）绩效自评价目的和意义</w:t>
      </w:r>
      <w:bookmarkEnd w:id="18"/>
      <w:bookmarkEnd w:id="19"/>
      <w:bookmarkEnd w:id="20"/>
    </w:p>
    <w:p>
      <w:pPr>
        <w:ind w:firstLine="640"/>
      </w:pPr>
      <w:r>
        <w:rPr>
          <w:rFonts w:hint="eastAsia"/>
        </w:rPr>
        <w:t>预算支出绩效自评价是预算单位运用科学、规范的评价方法，对照统一的评价标准，对预算支出的效率和效益进行的自我衡量和综合评价。</w:t>
      </w:r>
    </w:p>
    <w:p>
      <w:pPr>
        <w:ind w:firstLine="640"/>
      </w:pPr>
      <w:r>
        <w:rPr>
          <w:rFonts w:hint="eastAsia"/>
        </w:rPr>
        <w:t>预算支出绩效自评价的目的是：通过对绩效目标的综合考评，合理配置资源，优化支出结构，规范预算资金分配，提高财政资源配置效率和使用效益。</w:t>
      </w:r>
    </w:p>
    <w:p>
      <w:pPr>
        <w:ind w:firstLine="640"/>
      </w:pPr>
      <w:r>
        <w:rPr>
          <w:rFonts w:hint="eastAsia"/>
        </w:rPr>
        <w:t>推进预算支出绩效自评价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4"/>
      </w:pPr>
      <w:bookmarkStart w:id="21" w:name="_Toc3060"/>
      <w:bookmarkStart w:id="22" w:name="_Toc75871363"/>
      <w:bookmarkStart w:id="23" w:name="_Toc17572"/>
      <w:bookmarkStart w:id="24" w:name="_Toc79333439"/>
      <w:r>
        <w:rPr>
          <w:rFonts w:hint="eastAsia"/>
        </w:rPr>
        <w:t>（二）绩效自评价对象和范围</w:t>
      </w:r>
      <w:bookmarkEnd w:id="21"/>
      <w:bookmarkEnd w:id="22"/>
      <w:bookmarkEnd w:id="23"/>
      <w:bookmarkEnd w:id="24"/>
    </w:p>
    <w:p>
      <w:pPr>
        <w:ind w:firstLine="640"/>
        <w:rPr>
          <w:highlight w:val="none"/>
        </w:rPr>
      </w:pPr>
      <w:r>
        <w:rPr>
          <w:rFonts w:hint="eastAsia"/>
          <w:highlight w:val="none"/>
        </w:rPr>
        <w:t>本次绩效自评价对象为2</w:t>
      </w:r>
      <w:r>
        <w:rPr>
          <w:highlight w:val="none"/>
        </w:rPr>
        <w:t>02</w:t>
      </w:r>
      <w:r>
        <w:rPr>
          <w:rFonts w:hint="eastAsia"/>
          <w:highlight w:val="none"/>
        </w:rPr>
        <w:t>1年统战特需费（党组织活动、文明单位创建活动经费）项目专项资金，评价范围为涉及该项目管理及其预算资金</w:t>
      </w:r>
      <w:r>
        <w:rPr>
          <w:rFonts w:hint="eastAsia"/>
          <w:highlight w:val="none"/>
          <w:lang w:val="en-US" w:eastAsia="zh-CN"/>
        </w:rPr>
        <w:t>38.31</w:t>
      </w:r>
      <w:r>
        <w:rPr>
          <w:rFonts w:hint="eastAsia"/>
          <w:highlight w:val="none"/>
        </w:rPr>
        <w:t>万元的使用情况。</w:t>
      </w:r>
    </w:p>
    <w:p>
      <w:pPr>
        <w:pStyle w:val="4"/>
        <w:rPr>
          <w:highlight w:val="none"/>
        </w:rPr>
      </w:pPr>
      <w:bookmarkStart w:id="25" w:name="_Toc75871364"/>
      <w:bookmarkStart w:id="26" w:name="_Toc8160"/>
      <w:bookmarkStart w:id="27" w:name="_Toc20862"/>
      <w:bookmarkStart w:id="28" w:name="_Toc79333440"/>
      <w:r>
        <w:rPr>
          <w:rFonts w:hint="eastAsia"/>
          <w:highlight w:val="none"/>
        </w:rPr>
        <w:t>（三）绩效评价的依据</w:t>
      </w:r>
      <w:bookmarkEnd w:id="25"/>
      <w:bookmarkEnd w:id="26"/>
      <w:bookmarkEnd w:id="27"/>
      <w:bookmarkEnd w:id="28"/>
    </w:p>
    <w:p>
      <w:pPr>
        <w:numPr>
          <w:ilvl w:val="0"/>
          <w:numId w:val="1"/>
        </w:numPr>
        <w:ind w:firstLine="640"/>
      </w:pPr>
      <w:r>
        <w:rPr>
          <w:rFonts w:hint="eastAsia"/>
        </w:rPr>
        <w:t>中共中央、国务院《关于全面实施预算绩效管理的意见》（中发〔2018〕34号）；</w:t>
      </w:r>
    </w:p>
    <w:p>
      <w:pPr>
        <w:numPr>
          <w:ilvl w:val="0"/>
          <w:numId w:val="1"/>
        </w:numPr>
        <w:ind w:firstLine="640"/>
      </w:pPr>
      <w:r>
        <w:rPr>
          <w:rFonts w:hint="eastAsia"/>
        </w:rPr>
        <w:t>《项目支出绩效评价管理办法》（财预〔2020〕10号）；</w:t>
      </w:r>
    </w:p>
    <w:p>
      <w:pPr>
        <w:numPr>
          <w:ilvl w:val="0"/>
          <w:numId w:val="1"/>
        </w:numPr>
        <w:ind w:firstLine="640"/>
      </w:pPr>
      <w:r>
        <w:rPr>
          <w:rFonts w:hint="eastAsia"/>
        </w:rPr>
        <w:t>《预算绩效评价共性指标体系框架》（财预〔2013〕53号）；</w:t>
      </w:r>
    </w:p>
    <w:p>
      <w:pPr>
        <w:numPr>
          <w:ilvl w:val="0"/>
          <w:numId w:val="1"/>
        </w:numPr>
        <w:ind w:firstLine="640"/>
      </w:pPr>
      <w:r>
        <w:rPr>
          <w:rFonts w:hint="eastAsia"/>
        </w:rPr>
        <w:t>《中共河南省委 河南省人民政府关于全面实施预算绩效管理的实施意见》（豫发〔2019〕10号）；</w:t>
      </w:r>
    </w:p>
    <w:p>
      <w:pPr>
        <w:numPr>
          <w:ilvl w:val="0"/>
          <w:numId w:val="1"/>
        </w:numPr>
        <w:ind w:firstLine="640"/>
      </w:pPr>
      <w:r>
        <w:rPr>
          <w:rFonts w:hint="eastAsia"/>
        </w:rPr>
        <w:t>河南省财政厅关于印发《河南省省级预算项目支出绩效评价管理办法》的通知（豫财效〔2020〕10号）；</w:t>
      </w:r>
    </w:p>
    <w:p>
      <w:pPr>
        <w:numPr>
          <w:ilvl w:val="0"/>
          <w:numId w:val="1"/>
        </w:numPr>
        <w:ind w:firstLine="640"/>
      </w:pPr>
      <w:r>
        <w:rPr>
          <w:rFonts w:hint="eastAsia"/>
          <w:lang w:val="en-US" w:eastAsia="zh-CN"/>
        </w:rPr>
        <w:t>中共三门峡市委、三门峡市人民政府《关于全面实施预算绩效管理的意见》（三发〔2020〕14号）；</w:t>
      </w:r>
    </w:p>
    <w:p>
      <w:pPr>
        <w:numPr>
          <w:ilvl w:val="0"/>
          <w:numId w:val="1"/>
        </w:numPr>
        <w:ind w:firstLine="640"/>
      </w:pPr>
      <w:r>
        <w:rPr>
          <w:rFonts w:hint="eastAsia"/>
          <w:lang w:val="en-US" w:eastAsia="zh-CN"/>
        </w:rPr>
        <w:t>《</w:t>
      </w:r>
      <w:r>
        <w:rPr>
          <w:rFonts w:hint="default"/>
          <w:lang w:val="zh-CN" w:eastAsia="zh-CN"/>
        </w:rPr>
        <w:t>三门峡市财政局关于开展2021年度市级预算绩效自评工作的通知</w:t>
      </w:r>
      <w:r>
        <w:rPr>
          <w:rFonts w:hint="eastAsia"/>
          <w:lang w:val="en-US" w:eastAsia="zh-CN"/>
        </w:rPr>
        <w:t>》（</w:t>
      </w:r>
      <w:r>
        <w:rPr>
          <w:rFonts w:hint="default"/>
          <w:lang w:val="zh-CN" w:eastAsia="zh-CN"/>
        </w:rPr>
        <w:t>三财效</w:t>
      </w:r>
      <w:r>
        <w:rPr>
          <w:rFonts w:hint="eastAsia"/>
          <w:lang w:val="en-US" w:eastAsia="zh-CN"/>
        </w:rPr>
        <w:t>〔</w:t>
      </w:r>
      <w:r>
        <w:rPr>
          <w:rFonts w:hint="default"/>
          <w:lang w:val="zh-CN" w:eastAsia="zh-CN"/>
        </w:rPr>
        <w:t>2022</w:t>
      </w:r>
      <w:r>
        <w:rPr>
          <w:rFonts w:hint="eastAsia"/>
          <w:lang w:val="en-US" w:eastAsia="zh-CN"/>
        </w:rPr>
        <w:t>〕</w:t>
      </w:r>
      <w:r>
        <w:rPr>
          <w:rFonts w:hint="default"/>
          <w:lang w:val="zh-CN" w:eastAsia="zh-CN"/>
        </w:rPr>
        <w:t>3号</w:t>
      </w:r>
      <w:r>
        <w:rPr>
          <w:rFonts w:hint="eastAsia"/>
          <w:lang w:val="en-US" w:eastAsia="zh-CN"/>
        </w:rPr>
        <w:t>）；</w:t>
      </w:r>
    </w:p>
    <w:p>
      <w:pPr>
        <w:numPr>
          <w:ilvl w:val="0"/>
          <w:numId w:val="1"/>
        </w:numPr>
        <w:ind w:firstLine="640"/>
      </w:pPr>
      <w:r>
        <w:rPr>
          <w:rFonts w:hint="eastAsia"/>
        </w:rPr>
        <w:t>与本次自评相关的其他资料。</w:t>
      </w:r>
    </w:p>
    <w:p>
      <w:pPr>
        <w:pStyle w:val="4"/>
      </w:pPr>
      <w:bookmarkStart w:id="29" w:name="_Toc75871365"/>
      <w:bookmarkStart w:id="30" w:name="_Toc13521"/>
      <w:bookmarkStart w:id="31" w:name="_Toc79333441"/>
      <w:bookmarkStart w:id="32" w:name="_Toc16305"/>
      <w:r>
        <w:rPr>
          <w:rFonts w:hint="eastAsia"/>
        </w:rPr>
        <w:t>（四）评分方法</w:t>
      </w:r>
      <w:bookmarkEnd w:id="29"/>
      <w:bookmarkEnd w:id="30"/>
      <w:bookmarkEnd w:id="31"/>
      <w:bookmarkEnd w:id="32"/>
    </w:p>
    <w:p>
      <w:pPr>
        <w:ind w:firstLine="640"/>
      </w:pPr>
      <w:bookmarkStart w:id="33" w:name="_Toc27533"/>
      <w:r>
        <w:rPr>
          <w:rFonts w:hint="eastAsia"/>
        </w:rPr>
        <w:t>根据财政部《项目支出绩效评价管理办法》（财预〔2020〕10号）第十六条的相关要求：</w:t>
      </w:r>
    </w:p>
    <w:p>
      <w:pPr>
        <w:ind w:firstLine="640"/>
      </w:pPr>
      <w:r>
        <w:rPr>
          <w:rFonts w:hint="eastAsia"/>
        </w:rPr>
        <w:t>单位自评采用定量与定性评价相结合的比较法，总分由各项指标得分汇总形成。</w:t>
      </w:r>
    </w:p>
    <w:p>
      <w:pPr>
        <w:ind w:firstLine="640"/>
      </w:pPr>
      <w:r>
        <w:rPr>
          <w:rFonts w:hint="eastAsia"/>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ind w:firstLine="640"/>
      </w:pPr>
      <w:r>
        <w:rPr>
          <w:rFonts w:hint="eastAsia"/>
        </w:rPr>
        <w:t>定性指标得分按照以下方法评定：根据指标完成情况分为达成年度指标、部分达成年度指标并具有一定效果、未达成年度指标且效果较差三档，分别按照该指标对应分值区间100%—80%（含）、80%—60%（含）、60%—0%合理确定分值。</w:t>
      </w:r>
    </w:p>
    <w:p>
      <w:pPr>
        <w:ind w:firstLine="640"/>
      </w:pPr>
      <w:r>
        <w:t>评分表满分为100分，</w:t>
      </w:r>
      <w:r>
        <w:rPr>
          <w:rFonts w:hint="eastAsia"/>
        </w:rPr>
        <w:t>一</w:t>
      </w:r>
      <w:r>
        <w:t>级指标分值统一设置为：预算执行率10分、产出指标50分、效益指标30分、服务对象满意指标10分。各部门可根据指标的重要程度自主确定各项三级指标的权重分值各项指标得分加总得出自评的总分。</w:t>
      </w:r>
    </w:p>
    <w:p>
      <w:pPr>
        <w:ind w:firstLine="640"/>
      </w:pPr>
      <w:r>
        <w:rPr>
          <w:rFonts w:hint="eastAsia"/>
        </w:rPr>
        <w:t>综合各级政府绩效评价相关政策，按照政策相关要求，根据指标的重要程度确定各项三级指标的权重分值。</w:t>
      </w:r>
    </w:p>
    <w:p>
      <w:pPr>
        <w:pStyle w:val="4"/>
      </w:pPr>
      <w:bookmarkStart w:id="34" w:name="_Toc75871366"/>
      <w:bookmarkStart w:id="35" w:name="_Toc79333442"/>
      <w:bookmarkStart w:id="36" w:name="_Toc21385"/>
      <w:r>
        <w:rPr>
          <w:rFonts w:hint="eastAsia"/>
        </w:rPr>
        <w:t>（五）绩效自评工作组织</w:t>
      </w:r>
      <w:bookmarkEnd w:id="33"/>
      <w:bookmarkEnd w:id="34"/>
      <w:bookmarkEnd w:id="35"/>
      <w:bookmarkEnd w:id="36"/>
    </w:p>
    <w:p>
      <w:pPr>
        <w:ind w:firstLine="640"/>
      </w:pPr>
      <w:r>
        <w:rPr>
          <w:rFonts w:hint="eastAsia"/>
        </w:rPr>
        <w:t>我单位依据自评价相关要求，成立项目自评领导小组，下设自评工作组，由工作组根据具体项目指定专人配合进行自评。</w:t>
      </w:r>
    </w:p>
    <w:p>
      <w:pPr>
        <w:ind w:firstLine="640"/>
      </w:pPr>
      <w:r>
        <w:rPr>
          <w:rFonts w:hint="eastAsia"/>
        </w:rPr>
        <w:t>工作组主要工作内容有：</w:t>
      </w:r>
    </w:p>
    <w:p>
      <w:pPr>
        <w:ind w:firstLine="640"/>
      </w:pPr>
      <w:r>
        <w:rPr>
          <w:rFonts w:hint="eastAsia"/>
        </w:rPr>
        <w:t>1、召开自评价专门会议，进行自评价工作的统一部署并组织项目相关成员进行必要的政策法规学习；</w:t>
      </w:r>
    </w:p>
    <w:p>
      <w:pPr>
        <w:ind w:firstLine="640"/>
      </w:pPr>
      <w:r>
        <w:rPr>
          <w:rFonts w:hint="eastAsia"/>
        </w:rPr>
        <w:t>2、组织有效的调查研究、项目座谈、查阅相关资料；</w:t>
      </w:r>
    </w:p>
    <w:p>
      <w:pPr>
        <w:ind w:firstLine="640"/>
      </w:pPr>
      <w:r>
        <w:rPr>
          <w:rFonts w:hint="eastAsia"/>
        </w:rPr>
        <w:t>3、根据获取的资料，依照《项目支出绩效自评表》进行合理打分；</w:t>
      </w:r>
    </w:p>
    <w:p>
      <w:pPr>
        <w:ind w:firstLine="640"/>
      </w:pPr>
      <w:r>
        <w:rPr>
          <w:rFonts w:hint="eastAsia"/>
        </w:rPr>
        <w:t>4、综合上述工作成果，撰写项目自评价报告；</w:t>
      </w:r>
    </w:p>
    <w:p>
      <w:pPr>
        <w:ind w:firstLine="640"/>
      </w:pPr>
      <w:r>
        <w:rPr>
          <w:rFonts w:hint="eastAsia"/>
        </w:rPr>
        <w:t>5、完成项目绩效评价相关政策所要求的其他事项。</w:t>
      </w:r>
    </w:p>
    <w:p>
      <w:pPr>
        <w:pStyle w:val="3"/>
      </w:pPr>
      <w:bookmarkStart w:id="37" w:name="_Toc26267"/>
      <w:bookmarkStart w:id="38" w:name="_Toc79333443"/>
      <w:r>
        <w:rPr>
          <w:rFonts w:hint="eastAsia"/>
        </w:rPr>
        <w:t>三、绩效自评结果及分析</w:t>
      </w:r>
      <w:bookmarkEnd w:id="37"/>
      <w:bookmarkEnd w:id="38"/>
    </w:p>
    <w:p>
      <w:pPr>
        <w:pStyle w:val="4"/>
      </w:pPr>
      <w:bookmarkStart w:id="39" w:name="_Toc17350"/>
      <w:bookmarkStart w:id="40" w:name="_Toc79333444"/>
      <w:bookmarkStart w:id="41" w:name="_Toc4028"/>
      <w:r>
        <w:t>（一）绩效自评价结果</w:t>
      </w:r>
      <w:bookmarkEnd w:id="39"/>
      <w:bookmarkEnd w:id="40"/>
      <w:bookmarkEnd w:id="41"/>
    </w:p>
    <w:p>
      <w:pPr>
        <w:ind w:firstLine="640"/>
      </w:pPr>
      <w:r>
        <w:rPr>
          <w:rFonts w:hint="eastAsia"/>
        </w:rPr>
        <w:t>根据自评相关规定，绩效评价结果实行百分制和四级分类，分别是：90-100分为优、80-89分为良、60-79分为中、0-59分为差。</w:t>
      </w:r>
    </w:p>
    <w:p>
      <w:pPr>
        <w:ind w:firstLine="640"/>
        <w:rPr>
          <w:highlight w:val="none"/>
        </w:rPr>
      </w:pPr>
      <w:r>
        <w:rPr>
          <w:rFonts w:hint="eastAsia"/>
        </w:rPr>
        <w:t>我单位通过对本项目调查研究、座谈、查阅相关资料，根据相关政策要求进行打分，最</w:t>
      </w:r>
      <w:r>
        <w:rPr>
          <w:rFonts w:hint="eastAsia"/>
          <w:highlight w:val="none"/>
        </w:rPr>
        <w:t>终项目自评价得分为</w:t>
      </w:r>
      <w:r>
        <w:rPr>
          <w:rFonts w:hint="eastAsia"/>
          <w:highlight w:val="none"/>
          <w:lang w:val="en-US" w:eastAsia="zh-CN"/>
        </w:rPr>
        <w:t>100</w:t>
      </w:r>
      <w:r>
        <w:rPr>
          <w:rFonts w:hint="eastAsia"/>
          <w:highlight w:val="none"/>
        </w:rPr>
        <w:t>分，评价结果为“</w:t>
      </w:r>
      <w:r>
        <w:rPr>
          <w:rFonts w:hint="eastAsia"/>
          <w:highlight w:val="none"/>
          <w:lang w:val="en-US" w:eastAsia="zh-CN"/>
        </w:rPr>
        <w:t>优</w:t>
      </w:r>
      <w:r>
        <w:rPr>
          <w:rFonts w:hint="eastAsia"/>
          <w:highlight w:val="none"/>
        </w:rPr>
        <w:t>”。各项指标具体得分情况如下表</w:t>
      </w:r>
      <w:r>
        <w:rPr>
          <w:highlight w:val="none"/>
        </w:rPr>
        <w:t>3</w:t>
      </w:r>
      <w:r>
        <w:rPr>
          <w:rFonts w:hint="eastAsia"/>
          <w:highlight w:val="none"/>
        </w:rPr>
        <w:t>.1所示</w:t>
      </w:r>
    </w:p>
    <w:p>
      <w:pPr>
        <w:pStyle w:val="19"/>
        <w:ind w:firstLine="643"/>
        <w:rPr>
          <w:highlight w:val="none"/>
        </w:rPr>
      </w:pPr>
      <w:r>
        <w:rPr>
          <w:rFonts w:hint="eastAsia"/>
          <w:highlight w:val="none"/>
        </w:rPr>
        <w:t>表3.1 绩效自评价得分表</w:t>
      </w:r>
    </w:p>
    <w:tbl>
      <w:tblPr>
        <w:tblStyle w:val="13"/>
        <w:tblW w:w="4954" w:type="pct"/>
        <w:jc w:val="center"/>
        <w:tblLayout w:type="fixed"/>
        <w:tblCellMar>
          <w:top w:w="0" w:type="dxa"/>
          <w:left w:w="108" w:type="dxa"/>
          <w:bottom w:w="0" w:type="dxa"/>
          <w:right w:w="108" w:type="dxa"/>
        </w:tblCellMar>
      </w:tblPr>
      <w:tblGrid>
        <w:gridCol w:w="1305"/>
        <w:gridCol w:w="1603"/>
        <w:gridCol w:w="2724"/>
        <w:gridCol w:w="1439"/>
        <w:gridCol w:w="1373"/>
      </w:tblGrid>
      <w:tr>
        <w:tblPrEx>
          <w:tblCellMar>
            <w:top w:w="0" w:type="dxa"/>
            <w:left w:w="108" w:type="dxa"/>
            <w:bottom w:w="0" w:type="dxa"/>
            <w:right w:w="108" w:type="dxa"/>
          </w:tblCellMar>
        </w:tblPrEx>
        <w:trPr>
          <w:trHeight w:val="567" w:hRule="atLeast"/>
          <w:tblHeader/>
          <w:jc w:val="center"/>
        </w:trPr>
        <w:tc>
          <w:tcPr>
            <w:tcW w:w="772"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pStyle w:val="17"/>
              <w:rPr>
                <w:highlight w:val="none"/>
              </w:rPr>
            </w:pPr>
            <w:r>
              <w:rPr>
                <w:rFonts w:hint="eastAsia"/>
                <w:highlight w:val="none"/>
              </w:rPr>
              <w:t>一级指标</w:t>
            </w:r>
          </w:p>
        </w:tc>
        <w:tc>
          <w:tcPr>
            <w:tcW w:w="949"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7"/>
              <w:rPr>
                <w:highlight w:val="none"/>
              </w:rPr>
            </w:pPr>
            <w:r>
              <w:rPr>
                <w:rFonts w:hint="eastAsia"/>
                <w:highlight w:val="none"/>
              </w:rPr>
              <w:t>二级指标</w:t>
            </w:r>
          </w:p>
        </w:tc>
        <w:tc>
          <w:tcPr>
            <w:tcW w:w="1612"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7"/>
              <w:rPr>
                <w:highlight w:val="none"/>
              </w:rPr>
            </w:pPr>
            <w:r>
              <w:rPr>
                <w:rFonts w:hint="eastAsia"/>
                <w:highlight w:val="none"/>
              </w:rPr>
              <w:t>三级指标</w:t>
            </w:r>
          </w:p>
        </w:tc>
        <w:tc>
          <w:tcPr>
            <w:tcW w:w="852"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7"/>
              <w:rPr>
                <w:highlight w:val="none"/>
              </w:rPr>
            </w:pPr>
            <w:r>
              <w:rPr>
                <w:rFonts w:hint="eastAsia"/>
                <w:highlight w:val="none"/>
              </w:rPr>
              <w:t>标准分值</w:t>
            </w:r>
          </w:p>
        </w:tc>
        <w:tc>
          <w:tcPr>
            <w:tcW w:w="813"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7"/>
              <w:rPr>
                <w:highlight w:val="none"/>
              </w:rPr>
            </w:pPr>
            <w:r>
              <w:rPr>
                <w:rFonts w:hint="eastAsia"/>
                <w:highlight w:val="none"/>
              </w:rPr>
              <w:t>实际得分</w:t>
            </w:r>
          </w:p>
        </w:tc>
      </w:tr>
      <w:tr>
        <w:tblPrEx>
          <w:tblCellMar>
            <w:top w:w="0" w:type="dxa"/>
            <w:left w:w="108" w:type="dxa"/>
            <w:bottom w:w="0" w:type="dxa"/>
            <w:right w:w="108" w:type="dxa"/>
          </w:tblCellMar>
        </w:tblPrEx>
        <w:trPr>
          <w:trHeight w:val="567" w:hRule="atLeast"/>
          <w:jc w:val="center"/>
        </w:trPr>
        <w:tc>
          <w:tcPr>
            <w:tcW w:w="77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
              <w:rPr>
                <w:highlight w:val="none"/>
              </w:rPr>
            </w:pPr>
            <w:r>
              <w:rPr>
                <w:rFonts w:hint="eastAsia"/>
                <w:highlight w:val="none"/>
              </w:rPr>
              <w:t>预算执行</w:t>
            </w:r>
          </w:p>
        </w:tc>
        <w:tc>
          <w:tcPr>
            <w:tcW w:w="949" w:type="pct"/>
            <w:tcBorders>
              <w:top w:val="single" w:color="auto" w:sz="4" w:space="0"/>
              <w:left w:val="nil"/>
              <w:bottom w:val="single" w:color="auto" w:sz="4" w:space="0"/>
              <w:right w:val="single" w:color="auto" w:sz="4" w:space="0"/>
            </w:tcBorders>
            <w:shd w:val="clear" w:color="auto" w:fill="auto"/>
            <w:vAlign w:val="center"/>
          </w:tcPr>
          <w:p>
            <w:pPr>
              <w:pStyle w:val="17"/>
              <w:rPr>
                <w:highlight w:val="none"/>
              </w:rPr>
            </w:pPr>
            <w:r>
              <w:rPr>
                <w:rFonts w:hint="eastAsia"/>
                <w:highlight w:val="none"/>
              </w:rPr>
              <w:t>预算执行率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highlight w:val="none"/>
              </w:rPr>
            </w:pPr>
            <w:r>
              <w:rPr>
                <w:rFonts w:hint="eastAsia"/>
                <w:highlight w:val="none"/>
              </w:rPr>
              <w:t>预算执行率</w:t>
            </w:r>
          </w:p>
        </w:tc>
        <w:tc>
          <w:tcPr>
            <w:tcW w:w="852" w:type="pct"/>
            <w:tcBorders>
              <w:top w:val="single" w:color="auto" w:sz="4" w:space="0"/>
              <w:left w:val="nil"/>
              <w:bottom w:val="single" w:color="auto" w:sz="4" w:space="0"/>
              <w:right w:val="single" w:color="auto" w:sz="4" w:space="0"/>
            </w:tcBorders>
            <w:shd w:val="clear" w:color="auto" w:fill="auto"/>
            <w:vAlign w:val="center"/>
          </w:tcPr>
          <w:p>
            <w:pPr>
              <w:pStyle w:val="17"/>
              <w:rPr>
                <w:rFonts w:hint="default" w:eastAsia="仿宋"/>
                <w:highlight w:val="none"/>
                <w:lang w:val="en-US" w:eastAsia="zh-CN"/>
              </w:rPr>
            </w:pPr>
            <w:r>
              <w:rPr>
                <w:rFonts w:hint="eastAsia"/>
                <w:highlight w:val="none"/>
                <w:lang w:val="en-US" w:eastAsia="zh-CN"/>
              </w:rPr>
              <w:t>10</w:t>
            </w:r>
          </w:p>
        </w:tc>
        <w:tc>
          <w:tcPr>
            <w:tcW w:w="813" w:type="pct"/>
            <w:tcBorders>
              <w:top w:val="single" w:color="auto" w:sz="4" w:space="0"/>
              <w:left w:val="nil"/>
              <w:bottom w:val="single" w:color="auto" w:sz="4" w:space="0"/>
              <w:right w:val="single" w:color="auto" w:sz="4" w:space="0"/>
            </w:tcBorders>
            <w:shd w:val="clear" w:color="auto" w:fill="auto"/>
            <w:vAlign w:val="center"/>
          </w:tcPr>
          <w:p>
            <w:pPr>
              <w:pStyle w:val="17"/>
              <w:rPr>
                <w:rFonts w:hint="default" w:eastAsia="仿宋"/>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772" w:type="pct"/>
            <w:vMerge w:val="restart"/>
            <w:tcBorders>
              <w:top w:val="single" w:color="auto" w:sz="4" w:space="0"/>
              <w:left w:val="single" w:color="auto" w:sz="4" w:space="0"/>
              <w:bottom w:val="single" w:color="auto" w:sz="4" w:space="0"/>
              <w:right w:val="single" w:color="auto" w:sz="4" w:space="0"/>
            </w:tcBorders>
            <w:vAlign w:val="center"/>
          </w:tcPr>
          <w:p>
            <w:pPr>
              <w:pStyle w:val="17"/>
              <w:rPr>
                <w:rFonts w:hint="eastAsia" w:eastAsia="仿宋"/>
                <w:highlight w:val="none"/>
                <w:lang w:val="en-US" w:eastAsia="zh-CN"/>
              </w:rPr>
            </w:pPr>
            <w:r>
              <w:rPr>
                <w:rFonts w:hint="eastAsia"/>
                <w:highlight w:val="none"/>
                <w:lang w:val="en-US" w:eastAsia="zh-CN"/>
              </w:rPr>
              <w:t>产出指标</w:t>
            </w:r>
          </w:p>
        </w:tc>
        <w:tc>
          <w:tcPr>
            <w:tcW w:w="949" w:type="pct"/>
            <w:vMerge w:val="restart"/>
            <w:tcBorders>
              <w:top w:val="single" w:color="auto" w:sz="4" w:space="0"/>
              <w:left w:val="single" w:color="auto" w:sz="4" w:space="0"/>
              <w:right w:val="single" w:color="auto" w:sz="4" w:space="0"/>
            </w:tcBorders>
            <w:vAlign w:val="center"/>
          </w:tcPr>
          <w:p>
            <w:pPr>
              <w:pStyle w:val="17"/>
              <w:rPr>
                <w:rFonts w:hint="eastAsia" w:eastAsia="仿宋"/>
                <w:highlight w:val="none"/>
                <w:lang w:val="en-US" w:eastAsia="zh-CN"/>
              </w:rPr>
            </w:pPr>
            <w:r>
              <w:rPr>
                <w:rFonts w:hint="eastAsia"/>
                <w:highlight w:val="none"/>
                <w:lang w:val="en-US" w:eastAsia="zh-CN"/>
              </w:rPr>
              <w:t>数量指标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highlight w:val="none"/>
              </w:rPr>
            </w:pPr>
            <w:r>
              <w:rPr>
                <w:rFonts w:hint="eastAsia"/>
                <w:highlight w:val="none"/>
              </w:rPr>
              <w:t>培训次数</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default"/>
                <w:highlight w:val="none"/>
                <w:lang w:val="en-US" w:eastAsia="zh-CN"/>
              </w:rPr>
            </w:pPr>
            <w:r>
              <w:rPr>
                <w:rFonts w:hint="eastAsia"/>
                <w:highlight w:val="none"/>
                <w:lang w:val="en-US" w:eastAsia="zh-CN"/>
              </w:rPr>
              <w:t>5</w:t>
            </w:r>
          </w:p>
        </w:tc>
        <w:tc>
          <w:tcPr>
            <w:tcW w:w="81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default" w:eastAsia="仿宋"/>
                <w:highlight w:val="none"/>
                <w:lang w:val="en-US" w:eastAsia="zh-CN"/>
              </w:rPr>
            </w:pPr>
            <w:r>
              <w:rPr>
                <w:rFonts w:hint="eastAsia"/>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highlight w:val="none"/>
                <w:lang w:val="en-US" w:eastAsia="zh-CN"/>
              </w:rPr>
            </w:pPr>
          </w:p>
        </w:tc>
        <w:tc>
          <w:tcPr>
            <w:tcW w:w="949" w:type="pct"/>
            <w:vMerge w:val="continue"/>
            <w:tcBorders>
              <w:left w:val="single" w:color="auto" w:sz="4" w:space="0"/>
              <w:right w:val="single" w:color="auto" w:sz="4" w:space="0"/>
            </w:tcBorders>
            <w:shd w:val="clear" w:color="auto" w:fill="auto"/>
            <w:vAlign w:val="center"/>
          </w:tcPr>
          <w:p>
            <w:pPr>
              <w:pStyle w:val="17"/>
              <w:rPr>
                <w:rFonts w:hint="eastAsia"/>
                <w:highlight w:val="none"/>
              </w:rPr>
            </w:pP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宣传统战工作完成率</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highlight w:val="none"/>
                <w:lang w:val="en-US" w:eastAsia="zh-CN"/>
              </w:rPr>
            </w:pPr>
          </w:p>
        </w:tc>
        <w:tc>
          <w:tcPr>
            <w:tcW w:w="949" w:type="pct"/>
            <w:vMerge w:val="continue"/>
            <w:tcBorders>
              <w:left w:val="single" w:color="auto" w:sz="4" w:space="0"/>
              <w:right w:val="single" w:color="auto" w:sz="4" w:space="0"/>
            </w:tcBorders>
            <w:shd w:val="clear" w:color="auto" w:fill="auto"/>
            <w:vAlign w:val="center"/>
          </w:tcPr>
          <w:p>
            <w:pPr>
              <w:pStyle w:val="17"/>
              <w:rPr>
                <w:rFonts w:hint="eastAsia"/>
                <w:highlight w:val="none"/>
              </w:rPr>
            </w:pP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党建活动完成率</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highlight w:val="none"/>
                <w:lang w:val="en-US" w:eastAsia="zh-CN"/>
              </w:rPr>
            </w:pPr>
          </w:p>
        </w:tc>
        <w:tc>
          <w:tcPr>
            <w:tcW w:w="949" w:type="pct"/>
            <w:vMerge w:val="continue"/>
            <w:tcBorders>
              <w:left w:val="single" w:color="auto" w:sz="4" w:space="0"/>
              <w:right w:val="single" w:color="auto" w:sz="4" w:space="0"/>
            </w:tcBorders>
            <w:shd w:val="clear" w:color="auto" w:fill="auto"/>
            <w:vAlign w:val="center"/>
          </w:tcPr>
          <w:p>
            <w:pPr>
              <w:pStyle w:val="17"/>
              <w:rPr>
                <w:rFonts w:hint="eastAsia"/>
                <w:highlight w:val="none"/>
              </w:rPr>
            </w:pP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创建文明单位开展活动完成率</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highlight w:val="none"/>
                <w:lang w:val="en-US" w:eastAsia="zh-CN"/>
              </w:rPr>
            </w:pPr>
          </w:p>
        </w:tc>
        <w:tc>
          <w:tcPr>
            <w:tcW w:w="949" w:type="pct"/>
            <w:vMerge w:val="continue"/>
            <w:tcBorders>
              <w:left w:val="single" w:color="auto" w:sz="4" w:space="0"/>
              <w:bottom w:val="single" w:color="auto" w:sz="4" w:space="0"/>
              <w:right w:val="single" w:color="auto" w:sz="4" w:space="0"/>
            </w:tcBorders>
            <w:shd w:val="clear" w:color="auto" w:fill="auto"/>
            <w:vAlign w:val="center"/>
          </w:tcPr>
          <w:p>
            <w:pPr>
              <w:pStyle w:val="17"/>
              <w:rPr>
                <w:rFonts w:hint="eastAsia"/>
                <w:highlight w:val="none"/>
              </w:rPr>
            </w:pP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召开统战工作会议</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5</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eastAsia"/>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highlight w:val="none"/>
                <w:lang w:val="en-US" w:eastAsia="zh-CN"/>
              </w:rPr>
            </w:pPr>
          </w:p>
        </w:tc>
        <w:tc>
          <w:tcPr>
            <w:tcW w:w="949" w:type="pct"/>
            <w:vMerge w:val="restart"/>
            <w:tcBorders>
              <w:top w:val="single" w:color="auto" w:sz="4" w:space="0"/>
              <w:left w:val="single" w:color="auto" w:sz="4" w:space="0"/>
              <w:right w:val="single" w:color="auto" w:sz="4" w:space="0"/>
            </w:tcBorders>
            <w:shd w:val="clear" w:color="auto" w:fill="auto"/>
            <w:vAlign w:val="center"/>
          </w:tcPr>
          <w:p>
            <w:pPr>
              <w:pStyle w:val="17"/>
              <w:rPr>
                <w:rFonts w:hint="eastAsia" w:eastAsia="仿宋"/>
                <w:highlight w:val="none"/>
                <w:lang w:val="en-US" w:eastAsia="zh-CN"/>
              </w:rPr>
            </w:pPr>
            <w:r>
              <w:rPr>
                <w:rFonts w:hint="eastAsia"/>
                <w:highlight w:val="none"/>
                <w:lang w:val="en-US" w:eastAsia="zh-CN"/>
              </w:rPr>
              <w:t>质量指标</w:t>
            </w: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培训签到率</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highlight w:val="none"/>
                <w:lang w:val="en-US" w:eastAsia="zh-CN"/>
              </w:rPr>
            </w:pPr>
          </w:p>
        </w:tc>
        <w:tc>
          <w:tcPr>
            <w:tcW w:w="949" w:type="pct"/>
            <w:vMerge w:val="continue"/>
            <w:tcBorders>
              <w:left w:val="single" w:color="auto" w:sz="4" w:space="0"/>
              <w:right w:val="single" w:color="auto" w:sz="4" w:space="0"/>
            </w:tcBorders>
            <w:shd w:val="clear" w:color="auto" w:fill="auto"/>
            <w:vAlign w:val="center"/>
          </w:tcPr>
          <w:p>
            <w:pPr>
              <w:pStyle w:val="17"/>
              <w:rPr>
                <w:rFonts w:hint="eastAsia"/>
                <w:highlight w:val="none"/>
              </w:rPr>
            </w:pP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宣传统战工作覆盖率</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highlight w:val="none"/>
                <w:lang w:val="en-US" w:eastAsia="zh-CN"/>
              </w:rPr>
            </w:pPr>
          </w:p>
        </w:tc>
        <w:tc>
          <w:tcPr>
            <w:tcW w:w="949" w:type="pct"/>
            <w:vMerge w:val="continue"/>
            <w:tcBorders>
              <w:left w:val="single" w:color="auto" w:sz="4" w:space="0"/>
              <w:right w:val="single" w:color="auto" w:sz="4" w:space="0"/>
            </w:tcBorders>
            <w:shd w:val="clear" w:color="auto" w:fill="auto"/>
            <w:vAlign w:val="center"/>
          </w:tcPr>
          <w:p>
            <w:pPr>
              <w:pStyle w:val="17"/>
              <w:rPr>
                <w:rFonts w:hint="eastAsia"/>
                <w:highlight w:val="none"/>
              </w:rPr>
            </w:pP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创建文明单位开展活动覆盖率</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highlight w:val="none"/>
                <w:lang w:val="en-US" w:eastAsia="zh-CN"/>
              </w:rPr>
            </w:pPr>
          </w:p>
        </w:tc>
        <w:tc>
          <w:tcPr>
            <w:tcW w:w="949" w:type="pct"/>
            <w:vMerge w:val="continue"/>
            <w:tcBorders>
              <w:left w:val="single" w:color="auto" w:sz="4" w:space="0"/>
              <w:bottom w:val="single" w:color="auto" w:sz="4" w:space="0"/>
              <w:right w:val="single" w:color="auto" w:sz="4" w:space="0"/>
            </w:tcBorders>
            <w:shd w:val="clear" w:color="auto" w:fill="auto"/>
            <w:vAlign w:val="center"/>
          </w:tcPr>
          <w:p>
            <w:pPr>
              <w:pStyle w:val="17"/>
              <w:rPr>
                <w:rFonts w:hint="eastAsia"/>
                <w:highlight w:val="none"/>
              </w:rPr>
            </w:pP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召开统战工作会议签到率</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highlight w:val="none"/>
                <w:lang w:val="en-US" w:eastAsia="zh-CN"/>
              </w:rPr>
            </w:pPr>
          </w:p>
        </w:tc>
        <w:tc>
          <w:tcPr>
            <w:tcW w:w="949" w:type="pct"/>
            <w:vMerge w:val="restart"/>
            <w:tcBorders>
              <w:top w:val="single" w:color="auto" w:sz="4" w:space="0"/>
              <w:left w:val="single" w:color="auto" w:sz="4" w:space="0"/>
              <w:right w:val="single" w:color="auto" w:sz="4" w:space="0"/>
            </w:tcBorders>
            <w:shd w:val="clear" w:color="auto" w:fill="auto"/>
            <w:vAlign w:val="center"/>
          </w:tcPr>
          <w:p>
            <w:pPr>
              <w:pStyle w:val="17"/>
              <w:rPr>
                <w:rFonts w:hint="eastAsia" w:eastAsia="仿宋"/>
                <w:highlight w:val="none"/>
                <w:lang w:val="en-US" w:eastAsia="zh-CN"/>
              </w:rPr>
            </w:pPr>
            <w:r>
              <w:rPr>
                <w:rFonts w:hint="eastAsia"/>
                <w:highlight w:val="none"/>
                <w:lang w:val="en-US" w:eastAsia="zh-CN"/>
              </w:rPr>
              <w:t>时效指标</w:t>
            </w: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培训及时性</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highlight w:val="none"/>
                <w:lang w:val="en-US" w:eastAsia="zh-CN"/>
              </w:rPr>
            </w:pPr>
          </w:p>
        </w:tc>
        <w:tc>
          <w:tcPr>
            <w:tcW w:w="949" w:type="pct"/>
            <w:vMerge w:val="continue"/>
            <w:tcBorders>
              <w:left w:val="single" w:color="auto" w:sz="4" w:space="0"/>
              <w:right w:val="single" w:color="auto" w:sz="4" w:space="0"/>
            </w:tcBorders>
            <w:shd w:val="clear" w:color="auto" w:fill="auto"/>
            <w:vAlign w:val="center"/>
          </w:tcPr>
          <w:p>
            <w:pPr>
              <w:pStyle w:val="17"/>
              <w:rPr>
                <w:rFonts w:hint="eastAsia"/>
                <w:highlight w:val="none"/>
              </w:rPr>
            </w:pP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宣传统战工作及时性</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highlight w:val="none"/>
                <w:lang w:val="en-US" w:eastAsia="zh-CN"/>
              </w:rPr>
            </w:pPr>
          </w:p>
        </w:tc>
        <w:tc>
          <w:tcPr>
            <w:tcW w:w="949" w:type="pct"/>
            <w:vMerge w:val="continue"/>
            <w:tcBorders>
              <w:left w:val="single" w:color="auto" w:sz="4" w:space="0"/>
              <w:right w:val="single" w:color="auto" w:sz="4" w:space="0"/>
            </w:tcBorders>
            <w:shd w:val="clear" w:color="auto" w:fill="auto"/>
            <w:vAlign w:val="center"/>
          </w:tcPr>
          <w:p>
            <w:pPr>
              <w:pStyle w:val="17"/>
              <w:rPr>
                <w:rFonts w:hint="eastAsia"/>
                <w:highlight w:val="none"/>
              </w:rPr>
            </w:pP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创建文明单位开展活动及时性</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highlight w:val="none"/>
                <w:lang w:val="en-US" w:eastAsia="zh-CN"/>
              </w:rPr>
            </w:pPr>
          </w:p>
        </w:tc>
        <w:tc>
          <w:tcPr>
            <w:tcW w:w="949" w:type="pct"/>
            <w:vMerge w:val="continue"/>
            <w:tcBorders>
              <w:left w:val="single" w:color="auto" w:sz="4" w:space="0"/>
              <w:bottom w:val="single" w:color="auto" w:sz="4" w:space="0"/>
              <w:right w:val="single" w:color="auto" w:sz="4" w:space="0"/>
            </w:tcBorders>
            <w:shd w:val="clear" w:color="auto" w:fill="auto"/>
            <w:vAlign w:val="center"/>
          </w:tcPr>
          <w:p>
            <w:pPr>
              <w:pStyle w:val="17"/>
              <w:rPr>
                <w:rFonts w:hint="eastAsia"/>
                <w:highlight w:val="none"/>
              </w:rPr>
            </w:pP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召开统战工作会议及时性</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highlight w:val="none"/>
                <w:lang w:val="en-US" w:eastAsia="zh-CN"/>
              </w:rPr>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
              <w:rPr>
                <w:rFonts w:hint="default" w:eastAsia="仿宋"/>
                <w:highlight w:val="none"/>
                <w:lang w:val="en-US" w:eastAsia="zh-CN"/>
              </w:rPr>
            </w:pPr>
            <w:r>
              <w:rPr>
                <w:rFonts w:hint="eastAsia"/>
                <w:highlight w:val="none"/>
                <w:lang w:val="en-US" w:eastAsia="zh-CN"/>
              </w:rPr>
              <w:t>成本指标</w:t>
            </w: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总成本</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7</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eastAsia"/>
                <w:highlight w:val="none"/>
                <w:lang w:val="en-US" w:eastAsia="zh-CN"/>
              </w:rPr>
              <w:t>7</w:t>
            </w:r>
          </w:p>
        </w:tc>
      </w:tr>
      <w:tr>
        <w:tblPrEx>
          <w:tblCellMar>
            <w:top w:w="0" w:type="dxa"/>
            <w:left w:w="108" w:type="dxa"/>
            <w:bottom w:w="0" w:type="dxa"/>
            <w:right w:w="108" w:type="dxa"/>
          </w:tblCellMar>
        </w:tblPrEx>
        <w:trPr>
          <w:trHeight w:val="567" w:hRule="atLeast"/>
          <w:jc w:val="center"/>
        </w:trPr>
        <w:tc>
          <w:tcPr>
            <w:tcW w:w="772"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eastAsia="仿宋"/>
                <w:highlight w:val="none"/>
                <w:lang w:val="en-US" w:eastAsia="zh-CN"/>
              </w:rPr>
            </w:pPr>
            <w:r>
              <w:rPr>
                <w:rFonts w:hint="eastAsia"/>
                <w:highlight w:val="none"/>
                <w:lang w:val="en-US" w:eastAsia="zh-CN"/>
              </w:rPr>
              <w:t>效益指标</w:t>
            </w:r>
          </w:p>
        </w:tc>
        <w:tc>
          <w:tcPr>
            <w:tcW w:w="949" w:type="pct"/>
            <w:vMerge w:val="restart"/>
            <w:tcBorders>
              <w:top w:val="single" w:color="auto" w:sz="4" w:space="0"/>
              <w:left w:val="single" w:color="auto" w:sz="4" w:space="0"/>
              <w:right w:val="single" w:color="auto" w:sz="4" w:space="0"/>
            </w:tcBorders>
            <w:shd w:val="clear" w:color="auto" w:fill="auto"/>
            <w:vAlign w:val="center"/>
          </w:tcPr>
          <w:p>
            <w:pPr>
              <w:pStyle w:val="17"/>
              <w:ind w:firstLine="0" w:firstLineChars="0"/>
              <w:rPr>
                <w:rFonts w:hint="eastAsia" w:ascii="Times New Roman" w:hAnsi="Times New Roman" w:eastAsia="仿宋" w:cstheme="minorBidi"/>
                <w:kern w:val="2"/>
                <w:sz w:val="24"/>
                <w:szCs w:val="24"/>
                <w:highlight w:val="none"/>
                <w:lang w:val="en-US" w:eastAsia="zh-CN" w:bidi="ar-SA"/>
              </w:rPr>
            </w:pPr>
            <w:r>
              <w:rPr>
                <w:rFonts w:hint="eastAsia"/>
                <w:highlight w:val="none"/>
              </w:rPr>
              <w:t>社会效益指标</w:t>
            </w: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强化干部政治意识，加强统战干部队伍建设</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highlight w:val="none"/>
                <w:lang w:val="en-US" w:eastAsia="zh-CN"/>
              </w:rPr>
            </w:pPr>
          </w:p>
        </w:tc>
        <w:tc>
          <w:tcPr>
            <w:tcW w:w="949" w:type="pct"/>
            <w:vMerge w:val="continue"/>
            <w:tcBorders>
              <w:left w:val="single" w:color="auto" w:sz="4" w:space="0"/>
              <w:bottom w:val="single" w:color="auto" w:sz="4" w:space="0"/>
              <w:right w:val="single" w:color="auto" w:sz="4" w:space="0"/>
            </w:tcBorders>
            <w:shd w:val="clear" w:color="auto" w:fill="auto"/>
            <w:vAlign w:val="center"/>
          </w:tcPr>
          <w:p>
            <w:pPr>
              <w:pStyle w:val="17"/>
              <w:rPr>
                <w:rFonts w:hint="eastAsia"/>
                <w:highlight w:val="none"/>
              </w:rPr>
            </w:pP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围绕中心服务大局，凝心聚力</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eastAsia="仿宋"/>
                <w:highlight w:val="none"/>
                <w:lang w:val="en-US" w:eastAsia="zh-CN"/>
              </w:rPr>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
              <w:rPr>
                <w:rFonts w:hint="eastAsia" w:eastAsia="仿宋"/>
                <w:highlight w:val="none"/>
                <w:lang w:val="en-US" w:eastAsia="zh-CN"/>
              </w:rPr>
            </w:pPr>
            <w:r>
              <w:rPr>
                <w:rFonts w:hint="eastAsia"/>
                <w:highlight w:val="none"/>
                <w:lang w:val="en-US" w:eastAsia="zh-CN"/>
              </w:rPr>
              <w:t>可持续影响指标</w:t>
            </w: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7"/>
              <w:rPr>
                <w:highlight w:val="none"/>
              </w:rPr>
            </w:pPr>
            <w:r>
              <w:rPr>
                <w:rFonts w:hint="eastAsia"/>
                <w:highlight w:val="none"/>
              </w:rPr>
              <w:t>持续保持统一战线工作的深入发展</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default"/>
                <w:highlight w:val="none"/>
                <w:lang w:val="en-US" w:eastAsia="zh-CN"/>
              </w:rPr>
            </w:pPr>
            <w:r>
              <w:rPr>
                <w:rFonts w:hint="eastAsia"/>
                <w:highlight w:val="none"/>
                <w:lang w:val="en-US" w:eastAsia="zh-CN"/>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default" w:eastAsia="仿宋"/>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77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highlight w:val="none"/>
              </w:rPr>
            </w:pPr>
            <w:r>
              <w:rPr>
                <w:rFonts w:hint="eastAsia"/>
                <w:highlight w:val="none"/>
              </w:rPr>
              <w:t>满意度</w:t>
            </w:r>
          </w:p>
          <w:p>
            <w:pPr>
              <w:pStyle w:val="17"/>
              <w:rPr>
                <w:highlight w:val="none"/>
              </w:rPr>
            </w:pPr>
            <w:r>
              <w:rPr>
                <w:rFonts w:hint="eastAsia"/>
                <w:highlight w:val="none"/>
              </w:rPr>
              <w:t>指标</w:t>
            </w:r>
          </w:p>
        </w:tc>
        <w:tc>
          <w:tcPr>
            <w:tcW w:w="949" w:type="pct"/>
            <w:tcBorders>
              <w:top w:val="single" w:color="auto" w:sz="4" w:space="0"/>
              <w:left w:val="nil"/>
              <w:bottom w:val="single" w:color="auto" w:sz="4" w:space="0"/>
              <w:right w:val="single" w:color="auto" w:sz="4" w:space="0"/>
            </w:tcBorders>
            <w:shd w:val="clear" w:color="auto" w:fill="auto"/>
            <w:noWrap/>
            <w:vAlign w:val="center"/>
          </w:tcPr>
          <w:p>
            <w:pPr>
              <w:pStyle w:val="17"/>
              <w:rPr>
                <w:highlight w:val="none"/>
              </w:rPr>
            </w:pPr>
            <w:r>
              <w:rPr>
                <w:rFonts w:hint="eastAsia"/>
                <w:highlight w:val="none"/>
              </w:rPr>
              <w:t>服务对象满意度指标</w:t>
            </w:r>
          </w:p>
        </w:tc>
        <w:tc>
          <w:tcPr>
            <w:tcW w:w="1612" w:type="pct"/>
            <w:tcBorders>
              <w:top w:val="single" w:color="auto" w:sz="4" w:space="0"/>
              <w:left w:val="nil"/>
              <w:bottom w:val="single" w:color="auto" w:sz="4" w:space="0"/>
              <w:right w:val="single" w:color="auto" w:sz="4" w:space="0"/>
            </w:tcBorders>
            <w:shd w:val="clear" w:color="auto" w:fill="auto"/>
            <w:noWrap/>
            <w:vAlign w:val="center"/>
          </w:tcPr>
          <w:p>
            <w:pPr>
              <w:pStyle w:val="17"/>
              <w:rPr>
                <w:highlight w:val="none"/>
              </w:rPr>
            </w:pPr>
            <w:r>
              <w:rPr>
                <w:rFonts w:hint="eastAsia"/>
                <w:highlight w:val="none"/>
              </w:rPr>
              <w:t>受益对象满意度</w:t>
            </w:r>
          </w:p>
        </w:tc>
        <w:tc>
          <w:tcPr>
            <w:tcW w:w="852" w:type="pct"/>
            <w:tcBorders>
              <w:top w:val="single" w:color="auto" w:sz="4" w:space="0"/>
              <w:left w:val="single" w:color="000000" w:sz="4" w:space="0"/>
              <w:bottom w:val="single" w:color="auto" w:sz="4" w:space="0"/>
              <w:right w:val="single" w:color="000000" w:sz="4" w:space="0"/>
            </w:tcBorders>
            <w:shd w:val="clear" w:color="auto" w:fill="auto"/>
            <w:noWrap/>
            <w:vAlign w:val="center"/>
          </w:tcPr>
          <w:p>
            <w:pPr>
              <w:pStyle w:val="17"/>
              <w:rPr>
                <w:rFonts w:hint="default" w:eastAsia="仿宋"/>
                <w:highlight w:val="none"/>
                <w:lang w:val="en-US" w:eastAsia="zh-CN"/>
              </w:rPr>
            </w:pPr>
            <w:r>
              <w:rPr>
                <w:rFonts w:hint="eastAsia"/>
                <w:highlight w:val="none"/>
                <w:lang w:val="en-US" w:eastAsia="zh-CN"/>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rPr>
                <w:rFonts w:hint="default" w:eastAsia="仿宋"/>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3334"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highlight w:val="none"/>
              </w:rPr>
            </w:pPr>
            <w:r>
              <w:rPr>
                <w:rFonts w:hint="eastAsia"/>
                <w:highlight w:val="none"/>
              </w:rPr>
              <w:t>总分</w:t>
            </w:r>
          </w:p>
        </w:tc>
        <w:tc>
          <w:tcPr>
            <w:tcW w:w="852" w:type="pct"/>
            <w:tcBorders>
              <w:top w:val="single" w:color="auto" w:sz="4" w:space="0"/>
              <w:left w:val="nil"/>
              <w:bottom w:val="single" w:color="auto" w:sz="4" w:space="0"/>
              <w:right w:val="single" w:color="auto" w:sz="4" w:space="0"/>
            </w:tcBorders>
            <w:shd w:val="clear" w:color="auto" w:fill="auto"/>
            <w:noWrap/>
            <w:vAlign w:val="center"/>
          </w:tcPr>
          <w:p>
            <w:pPr>
              <w:pStyle w:val="17"/>
              <w:rPr>
                <w:highlight w:val="none"/>
              </w:rPr>
            </w:pPr>
            <w:r>
              <w:rPr>
                <w:rFonts w:hint="eastAsia"/>
                <w:highlight w:val="none"/>
              </w:rPr>
              <w:t>1</w:t>
            </w:r>
            <w:r>
              <w:rPr>
                <w:highlight w:val="none"/>
              </w:rPr>
              <w:t>00</w:t>
            </w:r>
          </w:p>
        </w:tc>
        <w:tc>
          <w:tcPr>
            <w:tcW w:w="813" w:type="pct"/>
            <w:tcBorders>
              <w:top w:val="single" w:color="auto" w:sz="4" w:space="0"/>
              <w:left w:val="nil"/>
              <w:bottom w:val="single" w:color="auto" w:sz="4" w:space="0"/>
              <w:right w:val="single" w:color="auto" w:sz="4" w:space="0"/>
            </w:tcBorders>
            <w:shd w:val="clear" w:color="auto" w:fill="auto"/>
            <w:noWrap/>
            <w:vAlign w:val="center"/>
          </w:tcPr>
          <w:p>
            <w:pPr>
              <w:pStyle w:val="17"/>
              <w:rPr>
                <w:rFonts w:hint="default" w:eastAsia="仿宋"/>
                <w:highlight w:val="none"/>
                <w:lang w:val="en-US" w:eastAsia="zh-CN"/>
              </w:rPr>
            </w:pPr>
            <w:r>
              <w:rPr>
                <w:rFonts w:hint="eastAsia"/>
                <w:highlight w:val="none"/>
                <w:lang w:val="en-US" w:eastAsia="zh-CN"/>
              </w:rPr>
              <w:t>100</w:t>
            </w:r>
          </w:p>
        </w:tc>
      </w:tr>
    </w:tbl>
    <w:p>
      <w:pPr>
        <w:pStyle w:val="4"/>
      </w:pPr>
      <w:bookmarkStart w:id="42" w:name="_Toc31442"/>
      <w:bookmarkStart w:id="43" w:name="_Toc8853"/>
      <w:bookmarkStart w:id="44" w:name="_Toc79333445"/>
      <w:r>
        <w:rPr>
          <w:rFonts w:hint="eastAsia"/>
        </w:rPr>
        <w:t>（二）自评指标分析</w:t>
      </w:r>
      <w:bookmarkEnd w:id="42"/>
      <w:bookmarkEnd w:id="43"/>
      <w:bookmarkEnd w:id="44"/>
    </w:p>
    <w:p>
      <w:pPr>
        <w:pStyle w:val="5"/>
        <w:ind w:firstLine="643"/>
      </w:pPr>
      <w:bookmarkStart w:id="45" w:name="_Toc9747"/>
      <w:bookmarkStart w:id="46" w:name="_Toc79333446"/>
      <w:r>
        <w:rPr>
          <w:rFonts w:hint="eastAsia"/>
        </w:rPr>
        <w:t>1、预算执行指标分析</w:t>
      </w:r>
      <w:bookmarkEnd w:id="45"/>
      <w:bookmarkEnd w:id="46"/>
    </w:p>
    <w:p>
      <w:pPr>
        <w:ind w:firstLine="640"/>
        <w:rPr>
          <w:highlight w:val="none"/>
        </w:rPr>
      </w:pPr>
      <w:r>
        <w:rPr>
          <w:rFonts w:hint="eastAsia"/>
        </w:rPr>
        <w:t>一级指标“预算执行”下设一个二级指标和一个三级指标，均为“预算执行率”，该</w:t>
      </w:r>
      <w:r>
        <w:rPr>
          <w:rFonts w:hint="eastAsia"/>
          <w:highlight w:val="none"/>
        </w:rPr>
        <w:t>指标标准分值</w:t>
      </w:r>
      <w:r>
        <w:rPr>
          <w:highlight w:val="none"/>
        </w:rPr>
        <w:t>10分，实际得分</w:t>
      </w:r>
      <w:r>
        <w:rPr>
          <w:rFonts w:hint="eastAsia"/>
          <w:highlight w:val="none"/>
          <w:lang w:val="en-US" w:eastAsia="zh-CN"/>
        </w:rPr>
        <w:t>10</w:t>
      </w:r>
      <w:r>
        <w:rPr>
          <w:rFonts w:hint="eastAsia"/>
          <w:highlight w:val="none"/>
        </w:rPr>
        <w:t>分。</w:t>
      </w:r>
    </w:p>
    <w:p>
      <w:pPr>
        <w:ind w:firstLine="640"/>
        <w:rPr>
          <w:highlight w:val="none"/>
        </w:rPr>
      </w:pPr>
      <w:r>
        <w:rPr>
          <w:rFonts w:hint="eastAsia"/>
          <w:highlight w:val="none"/>
        </w:rPr>
        <w:t>项目全年预算资金为</w:t>
      </w:r>
      <w:r>
        <w:rPr>
          <w:rFonts w:hint="eastAsia"/>
          <w:highlight w:val="none"/>
          <w:lang w:val="en-US" w:eastAsia="zh-CN"/>
        </w:rPr>
        <w:t>38.31</w:t>
      </w:r>
      <w:r>
        <w:rPr>
          <w:rFonts w:hint="eastAsia"/>
          <w:highlight w:val="none"/>
        </w:rPr>
        <w:t>万元，全年执行数为</w:t>
      </w:r>
      <w:r>
        <w:rPr>
          <w:rFonts w:hint="eastAsia"/>
          <w:highlight w:val="none"/>
          <w:lang w:val="en-US" w:eastAsia="zh-CN"/>
        </w:rPr>
        <w:t>38.31</w:t>
      </w:r>
      <w:r>
        <w:rPr>
          <w:rFonts w:hint="eastAsia"/>
          <w:highlight w:val="none"/>
        </w:rPr>
        <w:t>万元，预算执行率</w:t>
      </w:r>
      <w:r>
        <w:rPr>
          <w:rFonts w:hint="eastAsia"/>
          <w:highlight w:val="none"/>
          <w:lang w:val="en-US" w:eastAsia="zh-CN"/>
        </w:rPr>
        <w:t>100</w:t>
      </w:r>
      <w:r>
        <w:rPr>
          <w:highlight w:val="none"/>
        </w:rPr>
        <w:t>%，根据评分标准，预算执行率得分</w:t>
      </w:r>
      <w:r>
        <w:rPr>
          <w:rFonts w:hint="eastAsia"/>
          <w:highlight w:val="none"/>
          <w:lang w:val="en-US" w:eastAsia="zh-CN"/>
        </w:rPr>
        <w:t>10</w:t>
      </w:r>
      <w:r>
        <w:rPr>
          <w:rFonts w:hint="eastAsia"/>
          <w:highlight w:val="none"/>
        </w:rPr>
        <w:t>分。</w:t>
      </w:r>
    </w:p>
    <w:p>
      <w:pPr>
        <w:pStyle w:val="5"/>
        <w:ind w:firstLine="643"/>
      </w:pPr>
      <w:bookmarkStart w:id="47" w:name="_Toc79333447"/>
      <w:r>
        <w:rPr>
          <w:rFonts w:hint="eastAsia"/>
        </w:rPr>
        <w:t>2、产出指标分析</w:t>
      </w:r>
      <w:bookmarkEnd w:id="47"/>
    </w:p>
    <w:p>
      <w:pPr>
        <w:ind w:firstLine="640"/>
      </w:pPr>
      <w:r>
        <w:rPr>
          <w:rFonts w:hint="eastAsia"/>
        </w:rPr>
        <w:t>一级指标“产出指标”下设四个二级指标分别是：“数量指标”、“质量指标”、“时效指标”和“成本指标”。</w:t>
      </w:r>
    </w:p>
    <w:p>
      <w:pPr>
        <w:ind w:firstLine="640"/>
      </w:pPr>
      <w:r>
        <w:rPr>
          <w:rFonts w:hint="eastAsia"/>
        </w:rPr>
        <w:t>（1）数量指标</w:t>
      </w:r>
    </w:p>
    <w:p>
      <w:pPr>
        <w:ind w:firstLine="640"/>
        <w:rPr>
          <w:highlight w:val="none"/>
        </w:rPr>
      </w:pPr>
      <w:r>
        <w:rPr>
          <w:rFonts w:hint="eastAsia"/>
          <w:highlight w:val="none"/>
        </w:rPr>
        <w:t>“数量指标”下设</w:t>
      </w:r>
      <w:r>
        <w:rPr>
          <w:rFonts w:hint="eastAsia"/>
          <w:highlight w:val="none"/>
          <w:lang w:val="en-US" w:eastAsia="zh-CN"/>
        </w:rPr>
        <w:t>五</w:t>
      </w:r>
      <w:r>
        <w:rPr>
          <w:rFonts w:hint="eastAsia"/>
          <w:highlight w:val="none"/>
        </w:rPr>
        <w:t>个三级指标“培训次数”</w:t>
      </w:r>
      <w:r>
        <w:rPr>
          <w:rFonts w:hint="eastAsia"/>
          <w:highlight w:val="none"/>
          <w:lang w:eastAsia="zh-CN"/>
        </w:rPr>
        <w:t>、“宣传统战工作完成率”、“党建活动完成率”、“创建文明单位开展活动完成率”</w:t>
      </w:r>
      <w:r>
        <w:rPr>
          <w:rFonts w:hint="eastAsia"/>
          <w:highlight w:val="none"/>
        </w:rPr>
        <w:t>及“召开统战工作会议”。</w:t>
      </w:r>
    </w:p>
    <w:p>
      <w:pPr>
        <w:ind w:firstLine="640"/>
        <w:rPr>
          <w:rFonts w:hint="eastAsia"/>
          <w:color w:val="auto"/>
          <w:highlight w:val="none"/>
          <w:lang w:val="en-US" w:eastAsia="zh-CN"/>
        </w:rPr>
      </w:pPr>
      <w:r>
        <w:rPr>
          <w:rFonts w:hint="eastAsia"/>
          <w:highlight w:val="none"/>
        </w:rPr>
        <w:t>截止2</w:t>
      </w:r>
      <w:r>
        <w:rPr>
          <w:highlight w:val="none"/>
        </w:rPr>
        <w:t>02</w:t>
      </w:r>
      <w:r>
        <w:rPr>
          <w:rFonts w:hint="eastAsia"/>
          <w:highlight w:val="none"/>
          <w:lang w:val="en-US" w:eastAsia="zh-CN"/>
        </w:rPr>
        <w:t>1</w:t>
      </w:r>
      <w:r>
        <w:rPr>
          <w:rFonts w:hint="eastAsia"/>
          <w:highlight w:val="none"/>
        </w:rPr>
        <w:t>年1</w:t>
      </w:r>
      <w:r>
        <w:rPr>
          <w:highlight w:val="none"/>
        </w:rPr>
        <w:t>2</w:t>
      </w:r>
      <w:r>
        <w:rPr>
          <w:rFonts w:hint="eastAsia"/>
          <w:highlight w:val="none"/>
        </w:rPr>
        <w:t>月3</w:t>
      </w:r>
      <w:r>
        <w:rPr>
          <w:highlight w:val="none"/>
        </w:rPr>
        <w:t>1</w:t>
      </w:r>
      <w:r>
        <w:rPr>
          <w:rFonts w:hint="eastAsia"/>
          <w:highlight w:val="none"/>
        </w:rPr>
        <w:t>日，</w:t>
      </w:r>
      <w:r>
        <w:rPr>
          <w:rFonts w:hint="eastAsia"/>
          <w:highlight w:val="none"/>
          <w:lang w:val="en-US" w:eastAsia="zh-CN"/>
        </w:rPr>
        <w:t>已</w:t>
      </w:r>
      <w:r>
        <w:rPr>
          <w:rFonts w:hint="eastAsia"/>
          <w:color w:val="auto"/>
          <w:highlight w:val="none"/>
          <w:lang w:val="en-US" w:eastAsia="zh-CN"/>
        </w:rPr>
        <w:t>组织</w:t>
      </w:r>
      <w:r>
        <w:rPr>
          <w:rFonts w:hint="eastAsia"/>
          <w:color w:val="auto"/>
          <w:highlight w:val="none"/>
        </w:rPr>
        <w:t>开展召开统战工作会议</w:t>
      </w:r>
      <w:r>
        <w:rPr>
          <w:rFonts w:hint="eastAsia"/>
          <w:color w:val="auto"/>
          <w:highlight w:val="none"/>
          <w:lang w:val="en-US" w:eastAsia="zh-CN"/>
        </w:rPr>
        <w:t>1次，集体培训学习1次，不定期开展党建、创文、宣传统战等多次活动，均已圆满完成，完成率100%。</w:t>
      </w:r>
    </w:p>
    <w:p>
      <w:pPr>
        <w:ind w:firstLine="640"/>
        <w:rPr>
          <w:highlight w:val="none"/>
        </w:rPr>
      </w:pPr>
      <w:r>
        <w:rPr>
          <w:rFonts w:hint="eastAsia"/>
          <w:highlight w:val="none"/>
        </w:rPr>
        <w:t>综上所述，根据评分标准，数量指标实际得</w:t>
      </w:r>
      <w:r>
        <w:rPr>
          <w:rFonts w:hint="eastAsia"/>
          <w:highlight w:val="none"/>
          <w:lang w:val="en-US" w:eastAsia="zh-CN"/>
        </w:rPr>
        <w:t>19</w:t>
      </w:r>
      <w:r>
        <w:rPr>
          <w:highlight w:val="none"/>
        </w:rPr>
        <w:t>分。</w:t>
      </w:r>
    </w:p>
    <w:p>
      <w:pPr>
        <w:ind w:firstLine="640"/>
      </w:pPr>
      <w:r>
        <w:rPr>
          <w:rFonts w:hint="eastAsia"/>
        </w:rPr>
        <w:t>（2）质量指标</w:t>
      </w:r>
    </w:p>
    <w:p>
      <w:pPr>
        <w:ind w:firstLine="640"/>
        <w:rPr>
          <w:highlight w:val="none"/>
        </w:rPr>
      </w:pPr>
      <w:r>
        <w:rPr>
          <w:rFonts w:hint="eastAsia"/>
          <w:highlight w:val="none"/>
        </w:rPr>
        <w:t>“质量指标”下设</w:t>
      </w:r>
      <w:r>
        <w:rPr>
          <w:rFonts w:hint="eastAsia"/>
          <w:highlight w:val="none"/>
          <w:lang w:val="en-US" w:eastAsia="zh-CN"/>
        </w:rPr>
        <w:t>四</w:t>
      </w:r>
      <w:r>
        <w:rPr>
          <w:rFonts w:hint="eastAsia"/>
          <w:highlight w:val="none"/>
        </w:rPr>
        <w:t>个三级指标“培训签到率”</w:t>
      </w:r>
      <w:r>
        <w:rPr>
          <w:rFonts w:hint="eastAsia"/>
          <w:highlight w:val="none"/>
          <w:lang w:eastAsia="zh-CN"/>
        </w:rPr>
        <w:t>、“宣传统战工作覆盖率”、“创建文明单位开展活动覆盖率”</w:t>
      </w:r>
      <w:r>
        <w:rPr>
          <w:rFonts w:hint="eastAsia"/>
          <w:highlight w:val="none"/>
        </w:rPr>
        <w:t>和“召开统战工作会议签到率”。</w:t>
      </w:r>
    </w:p>
    <w:p>
      <w:pPr>
        <w:ind w:firstLine="640"/>
        <w:rPr>
          <w:highlight w:val="none"/>
        </w:rPr>
      </w:pPr>
      <w:r>
        <w:rPr>
          <w:rFonts w:hint="eastAsia"/>
          <w:highlight w:val="none"/>
        </w:rPr>
        <w:t>截止2021年12月31日，已组织开展召开统战工作会议1次，集体培训学习1次，不定期开展党建、创文、宣传统战等多次活动，均已圆满完成</w:t>
      </w:r>
      <w:r>
        <w:rPr>
          <w:rFonts w:hint="eastAsia"/>
          <w:highlight w:val="none"/>
          <w:lang w:eastAsia="zh-CN"/>
        </w:rPr>
        <w:t>，</w:t>
      </w:r>
      <w:r>
        <w:rPr>
          <w:rFonts w:hint="eastAsia"/>
          <w:highlight w:val="none"/>
        </w:rPr>
        <w:t>经查看活动签到表，</w:t>
      </w:r>
      <w:r>
        <w:rPr>
          <w:rFonts w:hint="eastAsia"/>
          <w:highlight w:val="none"/>
          <w:lang w:val="en-US" w:eastAsia="zh-CN"/>
        </w:rPr>
        <w:t>活动签到率均能达到100</w:t>
      </w:r>
      <w:r>
        <w:rPr>
          <w:rFonts w:hint="eastAsia"/>
          <w:highlight w:val="none"/>
        </w:rPr>
        <w:t>%，</w:t>
      </w:r>
      <w:r>
        <w:rPr>
          <w:rFonts w:hint="eastAsia"/>
          <w:highlight w:val="none"/>
          <w:lang w:val="en-US" w:eastAsia="zh-CN"/>
        </w:rPr>
        <w:t>组织</w:t>
      </w:r>
      <w:r>
        <w:rPr>
          <w:rFonts w:hint="eastAsia"/>
          <w:highlight w:val="none"/>
        </w:rPr>
        <w:t>宣传统战工作</w:t>
      </w:r>
      <w:r>
        <w:rPr>
          <w:rFonts w:hint="eastAsia"/>
          <w:highlight w:val="none"/>
          <w:lang w:val="en-US" w:eastAsia="zh-CN"/>
        </w:rPr>
        <w:t>精神</w:t>
      </w:r>
      <w:r>
        <w:rPr>
          <w:rFonts w:hint="eastAsia"/>
          <w:highlight w:val="none"/>
          <w:lang w:eastAsia="zh-CN"/>
        </w:rPr>
        <w:t>、创建文明单位开展活动</w:t>
      </w:r>
      <w:r>
        <w:rPr>
          <w:rFonts w:hint="eastAsia"/>
          <w:highlight w:val="none"/>
          <w:lang w:val="en-US" w:eastAsia="zh-CN"/>
        </w:rPr>
        <w:t>覆盖率均能达到100%</w:t>
      </w:r>
      <w:r>
        <w:rPr>
          <w:rFonts w:hint="eastAsia"/>
          <w:highlight w:val="none"/>
          <w:lang w:eastAsia="zh-CN"/>
        </w:rPr>
        <w:t>，</w:t>
      </w:r>
      <w:r>
        <w:rPr>
          <w:rFonts w:hint="eastAsia"/>
          <w:highlight w:val="none"/>
        </w:rPr>
        <w:t>完成预期指标。</w:t>
      </w:r>
    </w:p>
    <w:p>
      <w:pPr>
        <w:ind w:firstLine="640"/>
        <w:rPr>
          <w:highlight w:val="none"/>
        </w:rPr>
      </w:pPr>
      <w:r>
        <w:rPr>
          <w:rFonts w:hint="eastAsia"/>
          <w:highlight w:val="none"/>
        </w:rPr>
        <w:t>综上所述，根据评分标准，质量指标实际得</w:t>
      </w:r>
      <w:r>
        <w:rPr>
          <w:highlight w:val="none"/>
        </w:rPr>
        <w:t>1</w:t>
      </w:r>
      <w:r>
        <w:rPr>
          <w:rFonts w:hint="eastAsia"/>
          <w:highlight w:val="none"/>
          <w:lang w:val="en-US" w:eastAsia="zh-CN"/>
        </w:rPr>
        <w:t>2</w:t>
      </w:r>
      <w:r>
        <w:rPr>
          <w:highlight w:val="none"/>
        </w:rPr>
        <w:t>分。</w:t>
      </w:r>
    </w:p>
    <w:p>
      <w:pPr>
        <w:ind w:firstLine="640"/>
      </w:pPr>
      <w:r>
        <w:rPr>
          <w:rFonts w:hint="eastAsia"/>
        </w:rPr>
        <w:t>（3）时效指标</w:t>
      </w:r>
    </w:p>
    <w:p>
      <w:pPr>
        <w:ind w:firstLine="640"/>
        <w:rPr>
          <w:highlight w:val="none"/>
        </w:rPr>
      </w:pPr>
      <w:r>
        <w:rPr>
          <w:rFonts w:hint="eastAsia"/>
          <w:highlight w:val="none"/>
        </w:rPr>
        <w:t>“时效指标”下设</w:t>
      </w:r>
      <w:r>
        <w:rPr>
          <w:rFonts w:hint="eastAsia"/>
          <w:highlight w:val="none"/>
          <w:lang w:val="en-US" w:eastAsia="zh-CN"/>
        </w:rPr>
        <w:t>四</w:t>
      </w:r>
      <w:r>
        <w:rPr>
          <w:rFonts w:hint="eastAsia"/>
          <w:highlight w:val="none"/>
        </w:rPr>
        <w:t>个三级指标“</w:t>
      </w:r>
      <w:r>
        <w:rPr>
          <w:rFonts w:hint="eastAsia" w:ascii="Times New Roman" w:hAnsi="Times New Roman"/>
          <w:highlight w:val="none"/>
          <w:lang w:val="en-US" w:eastAsia="zh-CN"/>
        </w:rPr>
        <w:t>培训及时性</w:t>
      </w:r>
      <w:r>
        <w:rPr>
          <w:rFonts w:hint="eastAsia"/>
          <w:highlight w:val="none"/>
        </w:rPr>
        <w:t>”</w:t>
      </w:r>
      <w:r>
        <w:rPr>
          <w:rFonts w:hint="eastAsia"/>
          <w:highlight w:val="none"/>
          <w:lang w:eastAsia="zh-CN"/>
        </w:rPr>
        <w:t>、“宣传统战工作及时性”、“创建文明单位开展活动及时性”</w:t>
      </w:r>
      <w:r>
        <w:rPr>
          <w:rFonts w:hint="eastAsia"/>
          <w:highlight w:val="none"/>
          <w:lang w:val="en-US" w:eastAsia="zh-CN"/>
        </w:rPr>
        <w:t>和“召开统战工作会议及时性”</w:t>
      </w:r>
      <w:r>
        <w:rPr>
          <w:rFonts w:hint="eastAsia"/>
          <w:highlight w:val="none"/>
        </w:rPr>
        <w:t>。</w:t>
      </w:r>
    </w:p>
    <w:p>
      <w:pPr>
        <w:ind w:firstLine="640"/>
        <w:rPr>
          <w:rFonts w:hint="eastAsia"/>
          <w:highlight w:val="none"/>
          <w:lang w:eastAsia="zh-CN"/>
        </w:rPr>
      </w:pPr>
      <w:r>
        <w:rPr>
          <w:rFonts w:hint="eastAsia"/>
          <w:highlight w:val="none"/>
        </w:rPr>
        <w:t>截止2021年12月31日，已组织开展召开统战工作会议1次，于2021年3月已完成</w:t>
      </w:r>
      <w:r>
        <w:rPr>
          <w:rFonts w:hint="eastAsia"/>
          <w:highlight w:val="none"/>
          <w:lang w:eastAsia="zh-CN"/>
        </w:rPr>
        <w:t>；</w:t>
      </w:r>
      <w:r>
        <w:rPr>
          <w:rFonts w:hint="eastAsia"/>
          <w:highlight w:val="none"/>
        </w:rPr>
        <w:t>集体培训学习1次，于2021年4月已完成</w:t>
      </w:r>
      <w:r>
        <w:rPr>
          <w:rFonts w:hint="eastAsia"/>
          <w:highlight w:val="none"/>
          <w:lang w:eastAsia="zh-CN"/>
        </w:rPr>
        <w:t>；</w:t>
      </w:r>
      <w:r>
        <w:rPr>
          <w:rFonts w:hint="eastAsia"/>
          <w:highlight w:val="none"/>
          <w:lang w:val="en-US" w:eastAsia="zh-CN"/>
        </w:rPr>
        <w:t>及时</w:t>
      </w:r>
      <w:r>
        <w:rPr>
          <w:rFonts w:hint="eastAsia"/>
          <w:highlight w:val="none"/>
        </w:rPr>
        <w:t>开展党建、创文、宣传统战等多次活动</w:t>
      </w:r>
      <w:r>
        <w:rPr>
          <w:rFonts w:hint="eastAsia"/>
          <w:highlight w:val="none"/>
          <w:lang w:val="en-US" w:eastAsia="zh-CN"/>
        </w:rPr>
        <w:t>并圆满成功</w:t>
      </w:r>
      <w:r>
        <w:rPr>
          <w:rFonts w:hint="eastAsia"/>
          <w:highlight w:val="none"/>
          <w:lang w:eastAsia="zh-CN"/>
        </w:rPr>
        <w:t>。</w:t>
      </w:r>
    </w:p>
    <w:p>
      <w:pPr>
        <w:ind w:firstLine="640"/>
        <w:rPr>
          <w:rFonts w:hint="eastAsia"/>
          <w:highlight w:val="none"/>
          <w:lang w:eastAsia="zh-CN"/>
        </w:rPr>
      </w:pPr>
      <w:r>
        <w:rPr>
          <w:rFonts w:hint="eastAsia"/>
          <w:highlight w:val="none"/>
          <w:lang w:eastAsia="zh-CN"/>
        </w:rPr>
        <w:t>综上所述，根据评分标准，</w:t>
      </w:r>
      <w:r>
        <w:rPr>
          <w:rFonts w:hint="eastAsia"/>
          <w:highlight w:val="none"/>
          <w:lang w:val="en-US" w:eastAsia="zh-CN"/>
        </w:rPr>
        <w:t>时效</w:t>
      </w:r>
      <w:r>
        <w:rPr>
          <w:rFonts w:hint="eastAsia"/>
          <w:highlight w:val="none"/>
          <w:lang w:eastAsia="zh-CN"/>
        </w:rPr>
        <w:t>指标实际得</w:t>
      </w:r>
      <w:r>
        <w:rPr>
          <w:rFonts w:hint="eastAsia"/>
          <w:highlight w:val="none"/>
          <w:lang w:val="en-US" w:eastAsia="zh-CN"/>
        </w:rPr>
        <w:t>12</w:t>
      </w:r>
      <w:r>
        <w:rPr>
          <w:rFonts w:hint="eastAsia"/>
          <w:highlight w:val="none"/>
          <w:lang w:eastAsia="zh-CN"/>
        </w:rPr>
        <w:t>分。</w:t>
      </w:r>
    </w:p>
    <w:p>
      <w:pPr>
        <w:ind w:firstLine="640"/>
      </w:pPr>
      <w:r>
        <w:rPr>
          <w:rFonts w:hint="eastAsia"/>
        </w:rPr>
        <w:t>（</w:t>
      </w:r>
      <w:r>
        <w:rPr>
          <w:rFonts w:hint="eastAsia"/>
          <w:lang w:val="en-US" w:eastAsia="zh-CN"/>
        </w:rPr>
        <w:t>4</w:t>
      </w:r>
      <w:r>
        <w:rPr>
          <w:rFonts w:hint="eastAsia"/>
        </w:rPr>
        <w:t>）成本指标</w:t>
      </w:r>
    </w:p>
    <w:p>
      <w:pPr>
        <w:ind w:firstLine="640"/>
        <w:rPr>
          <w:rFonts w:hint="eastAsia"/>
          <w:highlight w:val="none"/>
        </w:rPr>
      </w:pPr>
      <w:r>
        <w:rPr>
          <w:rFonts w:hint="eastAsia"/>
          <w:highlight w:val="none"/>
        </w:rPr>
        <w:t>“</w:t>
      </w:r>
      <w:r>
        <w:rPr>
          <w:rFonts w:hint="eastAsia"/>
          <w:highlight w:val="none"/>
          <w:lang w:val="en-US" w:eastAsia="zh-CN"/>
        </w:rPr>
        <w:t>成本指标</w:t>
      </w:r>
      <w:r>
        <w:rPr>
          <w:rFonts w:hint="eastAsia"/>
          <w:highlight w:val="none"/>
        </w:rPr>
        <w:t>”下设三级指标“</w:t>
      </w:r>
      <w:r>
        <w:rPr>
          <w:rFonts w:hint="eastAsia" w:ascii="Times New Roman" w:hAnsi="Times New Roman"/>
          <w:highlight w:val="none"/>
          <w:lang w:val="en-US" w:eastAsia="zh-CN"/>
        </w:rPr>
        <w:t>总成本</w:t>
      </w:r>
      <w:r>
        <w:rPr>
          <w:rFonts w:hint="eastAsia"/>
          <w:highlight w:val="none"/>
        </w:rPr>
        <w:t>”。</w:t>
      </w:r>
    </w:p>
    <w:p>
      <w:pPr>
        <w:ind w:firstLine="640"/>
        <w:rPr>
          <w:highlight w:val="none"/>
        </w:rPr>
      </w:pPr>
      <w:r>
        <w:rPr>
          <w:rFonts w:hint="eastAsia"/>
          <w:highlight w:val="none"/>
        </w:rPr>
        <w:t>2</w:t>
      </w:r>
      <w:r>
        <w:rPr>
          <w:highlight w:val="none"/>
        </w:rPr>
        <w:t>02</w:t>
      </w:r>
      <w:r>
        <w:rPr>
          <w:rFonts w:hint="eastAsia"/>
          <w:highlight w:val="none"/>
          <w:lang w:val="en-US" w:eastAsia="zh-CN"/>
        </w:rPr>
        <w:t>1</w:t>
      </w:r>
      <w:r>
        <w:rPr>
          <w:rFonts w:hint="eastAsia"/>
          <w:highlight w:val="none"/>
        </w:rPr>
        <w:t>年项目财政资金</w:t>
      </w:r>
      <w:r>
        <w:rPr>
          <w:rFonts w:hint="eastAsia"/>
          <w:highlight w:val="none"/>
          <w:lang w:val="en-US" w:eastAsia="zh-CN"/>
        </w:rPr>
        <w:t>38.31</w:t>
      </w:r>
      <w:r>
        <w:rPr>
          <w:rFonts w:hint="eastAsia"/>
          <w:highlight w:val="none"/>
        </w:rPr>
        <w:t>万元，实际支出</w:t>
      </w:r>
      <w:r>
        <w:rPr>
          <w:rFonts w:hint="eastAsia"/>
          <w:highlight w:val="none"/>
          <w:lang w:val="en-US" w:eastAsia="zh-CN"/>
        </w:rPr>
        <w:t>38.31</w:t>
      </w:r>
      <w:r>
        <w:rPr>
          <w:highlight w:val="none"/>
        </w:rPr>
        <w:t>万元</w:t>
      </w:r>
      <w:r>
        <w:rPr>
          <w:rFonts w:hint="eastAsia"/>
          <w:highlight w:val="none"/>
        </w:rPr>
        <w:t>，未超出预算批复金额，因此该项指标标准分值</w:t>
      </w:r>
      <w:r>
        <w:rPr>
          <w:rFonts w:hint="eastAsia"/>
          <w:highlight w:val="none"/>
          <w:lang w:val="en-US" w:eastAsia="zh-CN"/>
        </w:rPr>
        <w:t>7</w:t>
      </w:r>
      <w:r>
        <w:rPr>
          <w:rFonts w:hint="eastAsia"/>
          <w:highlight w:val="none"/>
        </w:rPr>
        <w:t>分，得</w:t>
      </w:r>
      <w:r>
        <w:rPr>
          <w:rFonts w:hint="eastAsia"/>
          <w:highlight w:val="none"/>
          <w:lang w:val="en-US" w:eastAsia="zh-CN"/>
        </w:rPr>
        <w:t>7</w:t>
      </w:r>
      <w:r>
        <w:rPr>
          <w:rFonts w:hint="eastAsia"/>
          <w:highlight w:val="none"/>
        </w:rPr>
        <w:t>分。</w:t>
      </w:r>
    </w:p>
    <w:p>
      <w:pPr>
        <w:pStyle w:val="5"/>
        <w:ind w:firstLine="643"/>
      </w:pPr>
      <w:bookmarkStart w:id="48" w:name="_Toc79333448"/>
      <w:r>
        <w:t>3、效益指标分析</w:t>
      </w:r>
      <w:bookmarkEnd w:id="48"/>
    </w:p>
    <w:p>
      <w:pPr>
        <w:rPr>
          <w:highlight w:val="yellow"/>
        </w:rPr>
      </w:pPr>
      <w:r>
        <w:rPr>
          <w:rFonts w:hint="eastAsia"/>
        </w:rPr>
        <w:t>“效益指标”</w:t>
      </w:r>
      <w:r>
        <w:rPr>
          <w:rFonts w:hint="eastAsia"/>
          <w:highlight w:val="none"/>
        </w:rPr>
        <w:t>下设</w:t>
      </w:r>
      <w:r>
        <w:rPr>
          <w:rFonts w:hint="eastAsia"/>
          <w:highlight w:val="none"/>
          <w:lang w:val="en-US" w:eastAsia="zh-CN"/>
        </w:rPr>
        <w:t>两</w:t>
      </w:r>
      <w:r>
        <w:rPr>
          <w:rFonts w:hint="eastAsia"/>
          <w:highlight w:val="none"/>
        </w:rPr>
        <w:t>个二级指标，分别为“社会效益</w:t>
      </w:r>
      <w:r>
        <w:rPr>
          <w:rFonts w:hint="eastAsia"/>
          <w:highlight w:val="none"/>
          <w:lang w:val="en-US" w:eastAsia="zh-CN"/>
        </w:rPr>
        <w:t>指标</w:t>
      </w:r>
      <w:r>
        <w:rPr>
          <w:rFonts w:hint="eastAsia"/>
          <w:highlight w:val="none"/>
        </w:rPr>
        <w:t>”</w:t>
      </w:r>
      <w:r>
        <w:rPr>
          <w:rFonts w:hint="eastAsia"/>
          <w:highlight w:val="none"/>
          <w:lang w:val="en-US" w:eastAsia="zh-CN"/>
        </w:rPr>
        <w:t>和</w:t>
      </w:r>
      <w:r>
        <w:rPr>
          <w:rFonts w:hint="eastAsia"/>
          <w:highlight w:val="none"/>
        </w:rPr>
        <w:t>“可持续影响</w:t>
      </w:r>
      <w:r>
        <w:rPr>
          <w:rFonts w:hint="eastAsia"/>
          <w:highlight w:val="none"/>
          <w:lang w:val="en-US" w:eastAsia="zh-CN"/>
        </w:rPr>
        <w:t>指标</w:t>
      </w:r>
      <w:r>
        <w:rPr>
          <w:rFonts w:hint="eastAsia"/>
          <w:highlight w:val="none"/>
        </w:rPr>
        <w:t>”。</w:t>
      </w:r>
    </w:p>
    <w:p>
      <w:pPr>
        <w:ind w:firstLine="640"/>
      </w:pPr>
      <w:r>
        <w:rPr>
          <w:rFonts w:hint="eastAsia"/>
        </w:rPr>
        <w:t>（</w:t>
      </w:r>
      <w:r>
        <w:t>1</w:t>
      </w:r>
      <w:r>
        <w:rPr>
          <w:rFonts w:hint="eastAsia"/>
        </w:rPr>
        <w:t>）社会效益</w:t>
      </w:r>
    </w:p>
    <w:p>
      <w:pPr>
        <w:ind w:firstLine="640"/>
        <w:rPr>
          <w:highlight w:val="none"/>
        </w:rPr>
      </w:pPr>
      <w:r>
        <w:rPr>
          <w:rFonts w:hint="eastAsia"/>
          <w:highlight w:val="none"/>
        </w:rPr>
        <w:t>“社会效益”下设</w:t>
      </w:r>
      <w:r>
        <w:rPr>
          <w:rFonts w:hint="eastAsia"/>
          <w:highlight w:val="none"/>
          <w:lang w:val="en-US" w:eastAsia="zh-CN"/>
        </w:rPr>
        <w:t>两个</w:t>
      </w:r>
      <w:r>
        <w:rPr>
          <w:rFonts w:hint="eastAsia"/>
          <w:highlight w:val="none"/>
        </w:rPr>
        <w:t>三级指标“强化干部政治意识，加强统战干部队伍建设”</w:t>
      </w:r>
      <w:r>
        <w:rPr>
          <w:rFonts w:hint="eastAsia"/>
          <w:highlight w:val="none"/>
          <w:lang w:val="en-US" w:eastAsia="zh-CN"/>
        </w:rPr>
        <w:t>和“围绕中心服务大局，凝心聚力”</w:t>
      </w:r>
      <w:r>
        <w:rPr>
          <w:rFonts w:hint="eastAsia"/>
          <w:highlight w:val="none"/>
        </w:rPr>
        <w:t>。</w:t>
      </w:r>
    </w:p>
    <w:p>
      <w:pPr>
        <w:ind w:firstLine="640"/>
        <w:rPr>
          <w:rFonts w:hint="eastAsia"/>
          <w:highlight w:val="none"/>
        </w:rPr>
      </w:pPr>
      <w:r>
        <w:rPr>
          <w:rFonts w:hint="eastAsia"/>
          <w:highlight w:val="none"/>
          <w:lang w:val="en-US" w:eastAsia="zh-CN"/>
        </w:rPr>
        <w:t>项目实施以来，</w:t>
      </w:r>
      <w:r>
        <w:rPr>
          <w:rFonts w:hint="eastAsia" w:ascii="仿宋_GB2312" w:hAnsi="仿宋_GB2312" w:eastAsia="仿宋_GB2312" w:cs="仿宋_GB2312"/>
          <w:b w:val="0"/>
          <w:bCs w:val="0"/>
          <w:color w:val="000000"/>
          <w:sz w:val="32"/>
          <w:szCs w:val="32"/>
          <w:highlight w:val="none"/>
          <w:u w:val="none"/>
          <w:lang w:val="en-US" w:eastAsia="zh-CN"/>
        </w:rPr>
        <w:t>加强了部机关党的政治建设、思想建设、作风建设，严格纪律要求</w:t>
      </w:r>
      <w:r>
        <w:rPr>
          <w:rFonts w:hint="eastAsia" w:ascii="仿宋_GB2312" w:hAnsi="仿宋_GB2312" w:eastAsia="仿宋_GB2312" w:cs="仿宋_GB2312"/>
          <w:b w:val="0"/>
          <w:bCs w:val="0"/>
          <w:color w:val="000000"/>
          <w:sz w:val="32"/>
          <w:szCs w:val="32"/>
          <w:u w:val="none"/>
          <w:lang w:val="en-US" w:eastAsia="zh-CN"/>
        </w:rPr>
        <w:t>，持续巩固深化“</w:t>
      </w:r>
      <w:r>
        <w:rPr>
          <w:rFonts w:hint="eastAsia"/>
          <w:highlight w:val="none"/>
          <w:lang w:val="en-US" w:eastAsia="zh-CN"/>
        </w:rPr>
        <w:t>围绕中心服务大局，凝心聚力</w:t>
      </w:r>
      <w:r>
        <w:rPr>
          <w:rFonts w:hint="eastAsia" w:ascii="仿宋_GB2312" w:hAnsi="仿宋_GB2312" w:eastAsia="仿宋_GB2312" w:cs="仿宋_GB2312"/>
          <w:b w:val="0"/>
          <w:bCs w:val="0"/>
          <w:color w:val="000000"/>
          <w:sz w:val="32"/>
          <w:szCs w:val="32"/>
          <w:u w:val="none"/>
          <w:lang w:val="en-US" w:eastAsia="zh-CN"/>
        </w:rPr>
        <w:t>”，</w:t>
      </w:r>
      <w:r>
        <w:rPr>
          <w:rFonts w:hint="eastAsia" w:ascii="仿宋_GB2312" w:eastAsia="仿宋_GB2312"/>
          <w:color w:val="000000"/>
          <w:spacing w:val="-4"/>
          <w:sz w:val="32"/>
          <w:szCs w:val="32"/>
        </w:rPr>
        <w:t>强化</w:t>
      </w:r>
      <w:r>
        <w:rPr>
          <w:rFonts w:hint="eastAsia" w:ascii="仿宋_GB2312" w:eastAsia="仿宋_GB2312"/>
          <w:color w:val="000000"/>
          <w:spacing w:val="-4"/>
          <w:sz w:val="32"/>
          <w:szCs w:val="32"/>
          <w:lang w:val="en-US" w:eastAsia="zh-CN"/>
        </w:rPr>
        <w:t>了</w:t>
      </w:r>
      <w:r>
        <w:rPr>
          <w:rFonts w:hint="eastAsia" w:ascii="仿宋_GB2312" w:eastAsia="仿宋_GB2312"/>
          <w:color w:val="000000"/>
          <w:spacing w:val="-4"/>
          <w:sz w:val="32"/>
          <w:szCs w:val="32"/>
        </w:rPr>
        <w:t>干部政治意识，</w:t>
      </w:r>
      <w:r>
        <w:rPr>
          <w:rFonts w:hint="eastAsia"/>
          <w:highlight w:val="none"/>
        </w:rPr>
        <w:t>加强统战干部队伍建设</w:t>
      </w:r>
      <w:r>
        <w:rPr>
          <w:rFonts w:hint="eastAsia"/>
          <w:highlight w:val="none"/>
          <w:lang w:eastAsia="zh-CN"/>
        </w:rPr>
        <w:t>，</w:t>
      </w:r>
      <w:r>
        <w:rPr>
          <w:rFonts w:hint="eastAsia" w:ascii="仿宋_GB2312" w:eastAsia="仿宋_GB2312"/>
          <w:color w:val="000000"/>
          <w:spacing w:val="-4"/>
          <w:sz w:val="32"/>
          <w:szCs w:val="32"/>
          <w:lang w:eastAsia="zh-CN"/>
        </w:rPr>
        <w:t>不断提高政治判断力、政治领悟力、政治执行力。强化</w:t>
      </w:r>
      <w:r>
        <w:rPr>
          <w:rFonts w:hint="eastAsia" w:ascii="仿宋_GB2312" w:eastAsia="仿宋_GB2312"/>
          <w:color w:val="000000"/>
          <w:spacing w:val="-4"/>
          <w:sz w:val="32"/>
          <w:szCs w:val="32"/>
          <w:lang w:val="en-US" w:eastAsia="zh-CN"/>
        </w:rPr>
        <w:t>了</w:t>
      </w:r>
      <w:r>
        <w:rPr>
          <w:rFonts w:hint="eastAsia" w:ascii="仿宋_GB2312" w:eastAsia="仿宋_GB2312"/>
          <w:color w:val="000000"/>
          <w:spacing w:val="-4"/>
          <w:sz w:val="32"/>
          <w:szCs w:val="32"/>
          <w:lang w:eastAsia="zh-CN"/>
        </w:rPr>
        <w:t>干部专业训练，</w:t>
      </w:r>
      <w:r>
        <w:rPr>
          <w:rFonts w:hint="eastAsia" w:ascii="仿宋_GB2312" w:hAnsi="宋体" w:eastAsia="仿宋_GB2312" w:cs="宋体"/>
          <w:color w:val="000000"/>
          <w:spacing w:val="-4"/>
          <w:sz w:val="32"/>
          <w:szCs w:val="32"/>
        </w:rPr>
        <w:t>全面掌握统战理论、方针政策、方式方法</w:t>
      </w:r>
      <w:r>
        <w:rPr>
          <w:rFonts w:hint="eastAsia" w:ascii="仿宋_GB2312" w:hAnsi="宋体" w:eastAsia="仿宋_GB2312" w:cs="宋体"/>
          <w:color w:val="000000"/>
          <w:spacing w:val="-4"/>
          <w:sz w:val="32"/>
          <w:szCs w:val="32"/>
          <w:lang w:eastAsia="zh-CN"/>
        </w:rPr>
        <w:t>；</w:t>
      </w:r>
      <w:r>
        <w:rPr>
          <w:rFonts w:hint="eastAsia" w:ascii="仿宋_GB2312" w:hAnsi="宋体" w:eastAsia="仿宋_GB2312" w:cs="宋体"/>
          <w:color w:val="000000"/>
          <w:spacing w:val="-4"/>
          <w:sz w:val="32"/>
          <w:szCs w:val="32"/>
        </w:rPr>
        <w:t>强化</w:t>
      </w:r>
      <w:r>
        <w:rPr>
          <w:rFonts w:hint="eastAsia" w:ascii="仿宋_GB2312" w:hAnsi="宋体" w:eastAsia="仿宋_GB2312" w:cs="宋体"/>
          <w:color w:val="000000"/>
          <w:spacing w:val="-4"/>
          <w:sz w:val="32"/>
          <w:szCs w:val="32"/>
          <w:lang w:val="en-US" w:eastAsia="zh-CN"/>
        </w:rPr>
        <w:t>了</w:t>
      </w:r>
      <w:r>
        <w:rPr>
          <w:rFonts w:hint="eastAsia" w:ascii="仿宋_GB2312" w:hAnsi="宋体" w:eastAsia="仿宋_GB2312" w:cs="宋体"/>
          <w:color w:val="000000"/>
          <w:spacing w:val="-4"/>
          <w:sz w:val="32"/>
          <w:szCs w:val="32"/>
        </w:rPr>
        <w:t>干部岗</w:t>
      </w:r>
      <w:r>
        <w:rPr>
          <w:rFonts w:hint="eastAsia" w:ascii="仿宋_GB2312" w:hAnsi="宋体" w:eastAsia="仿宋_GB2312" w:cs="宋体"/>
          <w:color w:val="000000"/>
          <w:spacing w:val="-4"/>
          <w:sz w:val="32"/>
          <w:szCs w:val="32"/>
          <w:lang w:eastAsia="zh-CN"/>
        </w:rPr>
        <w:t>实践</w:t>
      </w:r>
      <w:r>
        <w:rPr>
          <w:rFonts w:hint="eastAsia" w:ascii="仿宋_GB2312" w:hAnsi="宋体" w:eastAsia="仿宋_GB2312" w:cs="宋体"/>
          <w:color w:val="000000"/>
          <w:spacing w:val="-4"/>
          <w:sz w:val="32"/>
          <w:szCs w:val="32"/>
        </w:rPr>
        <w:t>锻炼，全面提升调查研究、</w:t>
      </w:r>
      <w:r>
        <w:rPr>
          <w:rFonts w:hint="eastAsia" w:ascii="仿宋_GB2312" w:hAnsi="宋体" w:eastAsia="仿宋_GB2312" w:cs="宋体"/>
          <w:color w:val="000000"/>
          <w:spacing w:val="-4"/>
          <w:sz w:val="32"/>
          <w:szCs w:val="32"/>
          <w:lang w:eastAsia="zh-CN"/>
        </w:rPr>
        <w:t>破解难题、守正创新、</w:t>
      </w:r>
      <w:r>
        <w:rPr>
          <w:rFonts w:hint="eastAsia" w:ascii="仿宋_GB2312" w:hAnsi="宋体" w:eastAsia="仿宋_GB2312" w:cs="宋体"/>
          <w:color w:val="000000"/>
          <w:spacing w:val="-4"/>
          <w:sz w:val="32"/>
          <w:szCs w:val="32"/>
        </w:rPr>
        <w:t>狠抓落实能</w:t>
      </w:r>
      <w:r>
        <w:rPr>
          <w:rFonts w:hint="eastAsia" w:ascii="仿宋_GB2312" w:hAnsi="宋体" w:eastAsia="仿宋_GB2312" w:cs="宋体"/>
          <w:color w:val="000000"/>
          <w:spacing w:val="-4"/>
          <w:sz w:val="32"/>
          <w:szCs w:val="32"/>
          <w:highlight w:val="none"/>
        </w:rPr>
        <w:t>力，打造政治</w:t>
      </w:r>
      <w:r>
        <w:rPr>
          <w:rFonts w:hint="eastAsia" w:ascii="仿宋_GB2312" w:hAnsi="宋体" w:eastAsia="仿宋_GB2312" w:cs="宋体"/>
          <w:color w:val="000000"/>
          <w:spacing w:val="-4"/>
          <w:sz w:val="32"/>
          <w:szCs w:val="32"/>
          <w:highlight w:val="none"/>
          <w:lang w:eastAsia="zh-CN"/>
        </w:rPr>
        <w:t>坚定</w:t>
      </w:r>
      <w:r>
        <w:rPr>
          <w:rFonts w:hint="eastAsia" w:ascii="仿宋_GB2312" w:hAnsi="宋体" w:eastAsia="仿宋_GB2312" w:cs="宋体"/>
          <w:color w:val="000000"/>
          <w:spacing w:val="-4"/>
          <w:sz w:val="32"/>
          <w:szCs w:val="32"/>
          <w:highlight w:val="none"/>
        </w:rPr>
        <w:t>、业务</w:t>
      </w:r>
      <w:r>
        <w:rPr>
          <w:rFonts w:hint="eastAsia" w:ascii="仿宋_GB2312" w:hAnsi="宋体" w:eastAsia="仿宋_GB2312" w:cs="宋体"/>
          <w:color w:val="000000"/>
          <w:spacing w:val="-4"/>
          <w:sz w:val="32"/>
          <w:szCs w:val="32"/>
          <w:highlight w:val="none"/>
          <w:lang w:eastAsia="zh-CN"/>
        </w:rPr>
        <w:t>精通</w:t>
      </w:r>
      <w:r>
        <w:rPr>
          <w:rFonts w:hint="eastAsia" w:ascii="仿宋_GB2312" w:hAnsi="宋体" w:eastAsia="仿宋_GB2312" w:cs="宋体"/>
          <w:color w:val="000000"/>
          <w:spacing w:val="-4"/>
          <w:sz w:val="32"/>
          <w:szCs w:val="32"/>
          <w:highlight w:val="none"/>
        </w:rPr>
        <w:t>、作风过硬的高素质统战干部队伍</w:t>
      </w:r>
      <w:r>
        <w:rPr>
          <w:rFonts w:hint="eastAsia" w:ascii="仿宋_GB2312" w:hAnsi="宋体" w:eastAsia="仿宋_GB2312" w:cs="宋体"/>
          <w:color w:val="000000"/>
          <w:spacing w:val="-4"/>
          <w:sz w:val="32"/>
          <w:szCs w:val="32"/>
          <w:highlight w:val="none"/>
          <w:lang w:eastAsia="zh-CN"/>
        </w:rPr>
        <w:t>。</w:t>
      </w:r>
      <w:r>
        <w:rPr>
          <w:rFonts w:hint="eastAsia"/>
          <w:highlight w:val="none"/>
        </w:rPr>
        <w:t>项目产生社会效益达成预期指标，该指标标准分值为</w:t>
      </w:r>
      <w:r>
        <w:rPr>
          <w:rFonts w:hint="eastAsia"/>
          <w:highlight w:val="none"/>
          <w:lang w:val="en-US" w:eastAsia="zh-CN"/>
        </w:rPr>
        <w:t>2</w:t>
      </w:r>
      <w:r>
        <w:rPr>
          <w:rFonts w:hint="eastAsia"/>
          <w:highlight w:val="none"/>
        </w:rPr>
        <w:t>0分，实际综合得分为</w:t>
      </w:r>
      <w:r>
        <w:rPr>
          <w:rFonts w:hint="eastAsia"/>
          <w:highlight w:val="none"/>
          <w:lang w:val="en-US" w:eastAsia="zh-CN"/>
        </w:rPr>
        <w:t>2</w:t>
      </w:r>
      <w:r>
        <w:rPr>
          <w:rFonts w:hint="eastAsia"/>
          <w:highlight w:val="none"/>
        </w:rPr>
        <w:t>0分。</w:t>
      </w:r>
    </w:p>
    <w:p>
      <w:pPr>
        <w:ind w:firstLine="640"/>
      </w:pPr>
      <w:r>
        <w:rPr>
          <w:rFonts w:hint="eastAsia"/>
        </w:rPr>
        <w:t>（</w:t>
      </w:r>
      <w:r>
        <w:t>2</w:t>
      </w:r>
      <w:r>
        <w:rPr>
          <w:rFonts w:hint="eastAsia"/>
        </w:rPr>
        <w:t>）可持续影响</w:t>
      </w:r>
    </w:p>
    <w:p>
      <w:pPr>
        <w:ind w:firstLine="640"/>
        <w:rPr>
          <w:highlight w:val="none"/>
        </w:rPr>
      </w:pPr>
      <w:r>
        <w:rPr>
          <w:rFonts w:hint="eastAsia"/>
          <w:highlight w:val="none"/>
        </w:rPr>
        <w:t>“可持续影响”下设</w:t>
      </w:r>
      <w:r>
        <w:rPr>
          <w:rFonts w:hint="eastAsia"/>
          <w:highlight w:val="none"/>
          <w:lang w:val="en-US" w:eastAsia="zh-CN"/>
        </w:rPr>
        <w:t>一个</w:t>
      </w:r>
      <w:r>
        <w:rPr>
          <w:rFonts w:hint="eastAsia"/>
          <w:highlight w:val="none"/>
        </w:rPr>
        <w:t>三级指标“持续保持统一战线工作的深入发展”。</w:t>
      </w:r>
    </w:p>
    <w:p>
      <w:pPr>
        <w:ind w:firstLine="640"/>
        <w:rPr>
          <w:rFonts w:hint="eastAsia"/>
          <w:highlight w:val="none"/>
        </w:rPr>
      </w:pPr>
      <w:r>
        <w:rPr>
          <w:rFonts w:hint="eastAsia"/>
          <w:highlight w:val="none"/>
          <w:lang w:val="en-US" w:eastAsia="zh-CN"/>
        </w:rPr>
        <w:t>项目实施以来，共</w:t>
      </w:r>
      <w:r>
        <w:rPr>
          <w:rFonts w:hint="eastAsia"/>
          <w:highlight w:val="none"/>
        </w:rPr>
        <w:t>组织开展召开统战工作会议1次，集体培训学习1次，不定期开展党建、创文、宣传统战等多次活动，均已圆满完成</w:t>
      </w:r>
      <w:r>
        <w:rPr>
          <w:rFonts w:hint="eastAsia"/>
          <w:highlight w:val="none"/>
          <w:lang w:val="en-US" w:eastAsia="zh-CN"/>
        </w:rPr>
        <w:t>，广泛组织新的社会阶层人士认真学习贯彻党的理论和路线方针政策，</w:t>
      </w:r>
      <w:r>
        <w:rPr>
          <w:rFonts w:hint="eastAsia"/>
          <w:highlight w:val="none"/>
        </w:rPr>
        <w:t>持续保持统一战线工作的深入发展</w:t>
      </w:r>
      <w:r>
        <w:rPr>
          <w:rFonts w:hint="eastAsia"/>
          <w:highlight w:val="none"/>
          <w:lang w:eastAsia="zh-CN"/>
        </w:rPr>
        <w:t>。</w:t>
      </w:r>
      <w:r>
        <w:rPr>
          <w:rFonts w:hint="eastAsia"/>
          <w:highlight w:val="none"/>
        </w:rPr>
        <w:t>具有可持续影响效益，该指标标准分值为</w:t>
      </w:r>
      <w:r>
        <w:rPr>
          <w:rFonts w:hint="eastAsia"/>
          <w:highlight w:val="none"/>
          <w:lang w:val="en-US" w:eastAsia="zh-CN"/>
        </w:rPr>
        <w:t>10</w:t>
      </w:r>
      <w:r>
        <w:rPr>
          <w:rFonts w:hint="eastAsia"/>
          <w:highlight w:val="none"/>
        </w:rPr>
        <w:t>分，实际综合得分为</w:t>
      </w:r>
      <w:r>
        <w:rPr>
          <w:rFonts w:hint="eastAsia"/>
          <w:highlight w:val="none"/>
          <w:lang w:val="en-US" w:eastAsia="zh-CN"/>
        </w:rPr>
        <w:t>10</w:t>
      </w:r>
      <w:r>
        <w:rPr>
          <w:rFonts w:hint="eastAsia"/>
          <w:highlight w:val="none"/>
        </w:rPr>
        <w:t>分。</w:t>
      </w:r>
    </w:p>
    <w:p>
      <w:pPr>
        <w:pStyle w:val="5"/>
        <w:ind w:firstLine="643"/>
      </w:pPr>
      <w:bookmarkStart w:id="49" w:name="_Toc79333449"/>
      <w:r>
        <w:t>4、满意度指标分析</w:t>
      </w:r>
      <w:bookmarkEnd w:id="49"/>
    </w:p>
    <w:p>
      <w:pPr>
        <w:ind w:firstLine="640"/>
        <w:rPr>
          <w:rFonts w:hint="eastAsia"/>
          <w:highlight w:val="none"/>
        </w:rPr>
      </w:pPr>
      <w:r>
        <w:rPr>
          <w:rFonts w:hint="eastAsia"/>
          <w:highlight w:val="none"/>
          <w:lang w:val="en-US" w:eastAsia="zh-CN"/>
        </w:rPr>
        <w:t>经调查</w:t>
      </w:r>
      <w:r>
        <w:rPr>
          <w:rFonts w:hint="eastAsia"/>
          <w:highlight w:val="none"/>
        </w:rPr>
        <w:t>，综合满意度为</w:t>
      </w:r>
      <w:r>
        <w:rPr>
          <w:rFonts w:hint="eastAsia"/>
          <w:highlight w:val="none"/>
          <w:lang w:val="en-US" w:eastAsia="zh-CN"/>
        </w:rPr>
        <w:t>100</w:t>
      </w:r>
      <w:r>
        <w:rPr>
          <w:rFonts w:hint="eastAsia"/>
          <w:highlight w:val="none"/>
        </w:rPr>
        <w:t>%，根据评分标准，该项指标标准分值10分，得分为</w:t>
      </w:r>
      <w:r>
        <w:rPr>
          <w:rFonts w:hint="eastAsia"/>
          <w:highlight w:val="none"/>
          <w:lang w:val="en-US" w:eastAsia="zh-CN"/>
        </w:rPr>
        <w:t>1</w:t>
      </w:r>
      <w:r>
        <w:rPr>
          <w:rFonts w:hint="eastAsia"/>
          <w:highlight w:val="none"/>
        </w:rPr>
        <w:t>0分。</w:t>
      </w:r>
    </w:p>
    <w:p>
      <w:pPr>
        <w:pStyle w:val="3"/>
      </w:pPr>
      <w:bookmarkStart w:id="50" w:name="_Toc29830"/>
      <w:bookmarkStart w:id="51" w:name="_Toc79333450"/>
      <w:bookmarkStart w:id="52" w:name="_Toc14051"/>
      <w:r>
        <w:rPr>
          <w:rFonts w:hint="eastAsia"/>
        </w:rPr>
        <w:t>四、成果和问题</w:t>
      </w:r>
      <w:bookmarkEnd w:id="50"/>
      <w:bookmarkEnd w:id="51"/>
      <w:bookmarkEnd w:id="52"/>
    </w:p>
    <w:p>
      <w:pPr>
        <w:pStyle w:val="4"/>
      </w:pPr>
      <w:bookmarkStart w:id="53" w:name="_Toc79333451"/>
      <w:bookmarkStart w:id="54" w:name="_Toc27829"/>
      <w:r>
        <w:rPr>
          <w:rFonts w:hint="eastAsia"/>
        </w:rPr>
        <w:t>（一）项目实施的成果</w:t>
      </w:r>
      <w:bookmarkEnd w:id="53"/>
      <w:bookmarkEnd w:id="54"/>
    </w:p>
    <w:p>
      <w:pPr>
        <w:ind w:firstLine="640"/>
        <w:rPr>
          <w:rFonts w:hint="eastAsia"/>
          <w:highlight w:val="none"/>
        </w:rPr>
      </w:pPr>
      <w:r>
        <w:rPr>
          <w:rFonts w:hint="eastAsia"/>
          <w:highlight w:val="none"/>
        </w:rPr>
        <w:t>一是深入开展党史学习教育。建立了市委统战部“我为群众办实事”重点项目工作台账，明确了基层统战工作提质增效、新的社会阶层人士发挥作用、暖侨心工程等实事项目，并明确责任人和时间节点，确保真正解决群众急盼的困难。</w:t>
      </w:r>
    </w:p>
    <w:p>
      <w:pPr>
        <w:ind w:firstLine="640"/>
        <w:rPr>
          <w:rFonts w:hint="eastAsia"/>
          <w:highlight w:val="none"/>
        </w:rPr>
      </w:pPr>
      <w:r>
        <w:rPr>
          <w:rFonts w:hint="eastAsia"/>
          <w:highlight w:val="none"/>
        </w:rPr>
        <w:t>二是市委统战工作领导小组办公室职责不断发挥。重新修订《三门峡市委统一战线工作领导小组职责清单》和《考核办法》，有效促进了统战工作实现由“部门视野”向“党委视野”的转变。</w:t>
      </w:r>
    </w:p>
    <w:p>
      <w:pPr>
        <w:ind w:firstLine="640"/>
        <w:rPr>
          <w:highlight w:val="none"/>
        </w:rPr>
      </w:pPr>
      <w:r>
        <w:rPr>
          <w:rFonts w:hint="eastAsia"/>
          <w:highlight w:val="none"/>
        </w:rPr>
        <w:t>三是机关党建工作质量不断提升。始终坚持把全面从严治党工作列入重要议事日程，做到与统战工作同部署同安排同落实，教育引导统战干部在遵守党的纪律规矩，落实中央和省委重大决策部署，服务中心大局上作示范、当表率。始终支持纪检监察组参与“三重一大”等问题决策和重要会议，主动征求意见，接受监督。</w:t>
      </w:r>
    </w:p>
    <w:p>
      <w:pPr>
        <w:pStyle w:val="4"/>
        <w:rPr>
          <w:b/>
        </w:rPr>
      </w:pPr>
      <w:bookmarkStart w:id="55" w:name="_Toc79333452"/>
      <w:bookmarkStart w:id="56" w:name="_Toc9279"/>
      <w:r>
        <w:rPr>
          <w:rFonts w:hint="eastAsia"/>
        </w:rPr>
        <w:t>（二）项目存在的问题</w:t>
      </w:r>
      <w:bookmarkEnd w:id="55"/>
      <w:bookmarkEnd w:id="56"/>
    </w:p>
    <w:p>
      <w:pPr>
        <w:ind w:firstLine="643"/>
        <w:rPr>
          <w:highlight w:val="none"/>
        </w:rPr>
      </w:pPr>
      <w:r>
        <w:rPr>
          <w:rFonts w:hint="eastAsia"/>
          <w:b/>
          <w:highlight w:val="none"/>
        </w:rPr>
        <w:t>前期绩效管理意识薄弱</w:t>
      </w:r>
      <w:r>
        <w:rPr>
          <w:rFonts w:hint="eastAsia"/>
          <w:b/>
          <w:highlight w:val="none"/>
          <w:lang w:eastAsia="zh-CN"/>
        </w:rPr>
        <w:t>：</w:t>
      </w:r>
      <w:r>
        <w:rPr>
          <w:rFonts w:hint="eastAsia"/>
          <w:highlight w:val="none"/>
        </w:rPr>
        <w:t>我单位在进行绩效自评工作时，发现由于前期绩效管理意识薄弱，未及时对项目全部资料进行梳理备案统一保管，出现资料不全问题，导致项目自评依据不完整，评价结果不够准确。</w:t>
      </w:r>
      <w:r>
        <w:rPr>
          <w:lang w:val="zh-CN"/>
        </w:rPr>
        <w:t>单位基层人员对预算绩效管理工作存在偏见，尤其是业务部门配合参与程度较低，在管理机制约束力不足的情况下，很难保证预算绩效考核的全面性。</w:t>
      </w:r>
    </w:p>
    <w:p>
      <w:pPr>
        <w:pStyle w:val="3"/>
        <w:rPr>
          <w:highlight w:val="none"/>
        </w:rPr>
      </w:pPr>
      <w:bookmarkStart w:id="57" w:name="_Toc79333453"/>
      <w:bookmarkStart w:id="58" w:name="_Toc27227"/>
      <w:bookmarkStart w:id="59" w:name="_Toc7952"/>
      <w:r>
        <w:rPr>
          <w:rFonts w:hint="eastAsia"/>
          <w:highlight w:val="none"/>
        </w:rPr>
        <w:t>五、建议</w:t>
      </w:r>
      <w:bookmarkEnd w:id="57"/>
      <w:bookmarkEnd w:id="58"/>
      <w:bookmarkEnd w:id="59"/>
    </w:p>
    <w:p>
      <w:pPr>
        <w:pStyle w:val="4"/>
        <w:rPr>
          <w:highlight w:val="none"/>
        </w:rPr>
      </w:pPr>
      <w:bookmarkStart w:id="60" w:name="_Toc79333454"/>
      <w:bookmarkStart w:id="61" w:name="_Toc1279"/>
      <w:r>
        <w:rPr>
          <w:rFonts w:hint="eastAsia"/>
          <w:highlight w:val="none"/>
        </w:rPr>
        <w:t>（一）强化预算绩效管理意识，提升项目产出效益</w:t>
      </w:r>
      <w:bookmarkEnd w:id="60"/>
      <w:bookmarkEnd w:id="61"/>
    </w:p>
    <w:p>
      <w:pPr>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我单位应按照全面实施预算绩效管理工作要求：牢固树立“花钱必有效，无效必问责”的预算绩效管理理念，加快推进全方位、全过程、全覆盖的预算绩效管理体系建设，积极推进全面实施预算绩效管理工作，提升预算绩效管理水平。为发挥好财政职能作用，必须按照全面深化改革的要求，提高单位绩效管理意识，使财政资金发挥真正的效益。</w:t>
      </w:r>
    </w:p>
    <w:p>
      <w:pPr>
        <w:pStyle w:val="4"/>
        <w:rPr>
          <w:highlight w:val="none"/>
        </w:rPr>
      </w:pPr>
      <w:bookmarkStart w:id="62" w:name="_Toc79333455"/>
      <w:bookmarkStart w:id="63" w:name="_Toc24569"/>
      <w:r>
        <w:rPr>
          <w:rFonts w:hint="eastAsia"/>
          <w:highlight w:val="none"/>
        </w:rPr>
        <w:t>（二）加强学习培训，进一步提高绩效管理水平</w:t>
      </w:r>
      <w:bookmarkEnd w:id="62"/>
      <w:bookmarkEnd w:id="63"/>
    </w:p>
    <w:p>
      <w:pPr>
        <w:ind w:firstLine="640"/>
        <w:rPr>
          <w:rFonts w:hint="eastAsia"/>
          <w:highlight w:val="none"/>
        </w:rPr>
      </w:pPr>
      <w:r>
        <w:rPr>
          <w:rFonts w:hint="eastAsia"/>
          <w:highlight w:val="none"/>
        </w:rPr>
        <w:t>通过本次自评，发现我单位整体绩效评价水平不够，为更好的开展以后绩效评价和项目管理工作，</w:t>
      </w:r>
      <w:r>
        <w:rPr>
          <w:rFonts w:hint="eastAsia"/>
          <w:highlight w:val="none"/>
          <w:lang w:val="en-US" w:eastAsia="zh-CN"/>
        </w:rPr>
        <w:t>建议财政局</w:t>
      </w:r>
      <w:r>
        <w:rPr>
          <w:rFonts w:hint="default"/>
          <w:highlight w:val="none"/>
          <w:lang w:val="zh-CN"/>
        </w:rPr>
        <w:t>建立健全绩效管理体制，优化工作流程，进一步完善部门绩效管理</w:t>
      </w:r>
      <w:r>
        <w:rPr>
          <w:rFonts w:hint="eastAsia"/>
          <w:highlight w:val="none"/>
          <w:lang w:val="en-US" w:eastAsia="zh-CN"/>
        </w:rPr>
        <w:t>办法</w:t>
      </w:r>
      <w:r>
        <w:rPr>
          <w:rFonts w:hint="default"/>
          <w:highlight w:val="none"/>
          <w:lang w:val="zh-CN"/>
        </w:rPr>
        <w:t>，组织相关部门进行培训。</w:t>
      </w:r>
    </w:p>
    <w:p>
      <w:pPr>
        <w:pStyle w:val="3"/>
        <w:rPr>
          <w:highlight w:val="none"/>
        </w:rPr>
      </w:pPr>
      <w:bookmarkStart w:id="64" w:name="_Toc665"/>
      <w:bookmarkStart w:id="65" w:name="_Toc79333457"/>
      <w:bookmarkStart w:id="66" w:name="_Toc14570"/>
      <w:r>
        <w:rPr>
          <w:rFonts w:hint="eastAsia"/>
          <w:highlight w:val="none"/>
        </w:rPr>
        <w:t>六、其他需要说明的问题</w:t>
      </w:r>
      <w:bookmarkEnd w:id="64"/>
      <w:bookmarkEnd w:id="65"/>
      <w:bookmarkEnd w:id="66"/>
    </w:p>
    <w:p>
      <w:pPr>
        <w:ind w:firstLine="640"/>
        <w:rPr>
          <w:rFonts w:hint="eastAsia" w:eastAsia="仿宋"/>
          <w:highlight w:val="none"/>
          <w:lang w:eastAsia="zh-CN"/>
        </w:rPr>
      </w:pPr>
      <w:r>
        <w:rPr>
          <w:rFonts w:hint="eastAsia"/>
          <w:highlight w:val="none"/>
        </w:rPr>
        <w:t>无</w:t>
      </w:r>
      <w:r>
        <w:rPr>
          <w:rFonts w:hint="eastAsia"/>
          <w:highlight w:val="none"/>
          <w:lang w:eastAsia="zh-CN"/>
        </w:rPr>
        <w:t>。</w:t>
      </w:r>
    </w:p>
    <w:p>
      <w:pPr>
        <w:pStyle w:val="3"/>
        <w:rPr>
          <w:highlight w:val="none"/>
        </w:rPr>
      </w:pPr>
      <w:bookmarkStart w:id="67" w:name="_Toc61882435"/>
      <w:bookmarkStart w:id="68" w:name="_Toc75871379"/>
      <w:bookmarkStart w:id="69" w:name="_Toc79333458"/>
      <w:bookmarkStart w:id="70" w:name="_Toc62030119"/>
      <w:bookmarkStart w:id="71" w:name="_Toc32750"/>
      <w:r>
        <w:rPr>
          <w:rFonts w:hint="eastAsia"/>
          <w:highlight w:val="none"/>
        </w:rPr>
        <w:t>七、附件</w:t>
      </w:r>
      <w:bookmarkEnd w:id="67"/>
      <w:bookmarkEnd w:id="68"/>
      <w:bookmarkEnd w:id="69"/>
      <w:bookmarkEnd w:id="70"/>
      <w:bookmarkEnd w:id="71"/>
    </w:p>
    <w:p>
      <w:pPr>
        <w:ind w:firstLine="640"/>
        <w:rPr>
          <w:rFonts w:hint="eastAsia" w:eastAsia="仿宋"/>
          <w:lang w:val="en-US" w:eastAsia="zh-CN"/>
        </w:rPr>
        <w:sectPr>
          <w:footerReference r:id="rId6" w:type="default"/>
          <w:pgSz w:w="11906" w:h="16838"/>
          <w:pgMar w:top="1440" w:right="1800" w:bottom="1440" w:left="1800" w:header="851" w:footer="737" w:gutter="0"/>
          <w:pgNumType w:fmt="decimal" w:start="1"/>
          <w:cols w:space="0" w:num="1"/>
          <w:docGrid w:linePitch="312" w:charSpace="0"/>
        </w:sectPr>
      </w:pPr>
      <w:r>
        <w:rPr>
          <w:rFonts w:hint="eastAsia"/>
        </w:rPr>
        <w:t>附件一：项目支出绩效自评</w:t>
      </w:r>
      <w:r>
        <w:rPr>
          <w:rFonts w:hint="eastAsia"/>
          <w:lang w:val="en-US" w:eastAsia="zh-CN"/>
        </w:rPr>
        <w:t>表</w:t>
      </w:r>
    </w:p>
    <w:tbl>
      <w:tblPr>
        <w:tblStyle w:val="13"/>
        <w:tblW w:w="5140" w:type="pct"/>
        <w:tblInd w:w="0" w:type="dxa"/>
        <w:shd w:val="clear" w:color="auto" w:fill="auto"/>
        <w:tblLayout w:type="fixed"/>
        <w:tblCellMar>
          <w:top w:w="0" w:type="dxa"/>
          <w:left w:w="0" w:type="dxa"/>
          <w:bottom w:w="0" w:type="dxa"/>
          <w:right w:w="0" w:type="dxa"/>
        </w:tblCellMar>
      </w:tblPr>
      <w:tblGrid>
        <w:gridCol w:w="1270"/>
        <w:gridCol w:w="1208"/>
        <w:gridCol w:w="1379"/>
        <w:gridCol w:w="1492"/>
        <w:gridCol w:w="2595"/>
        <w:gridCol w:w="1438"/>
        <w:gridCol w:w="1362"/>
        <w:gridCol w:w="860"/>
        <w:gridCol w:w="564"/>
        <w:gridCol w:w="495"/>
        <w:gridCol w:w="1717"/>
      </w:tblGrid>
      <w:tr>
        <w:tblPrEx>
          <w:shd w:val="clear" w:color="auto" w:fill="auto"/>
          <w:tblCellMar>
            <w:top w:w="0" w:type="dxa"/>
            <w:left w:w="0" w:type="dxa"/>
            <w:bottom w:w="0" w:type="dxa"/>
            <w:right w:w="0" w:type="dxa"/>
          </w:tblCellMar>
        </w:tblPrEx>
        <w:trPr>
          <w:trHeight w:val="450" w:hRule="atLeast"/>
        </w:trPr>
        <w:tc>
          <w:tcPr>
            <w:tcW w:w="2762" w:type="pct"/>
            <w:gridSpan w:val="5"/>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附件1：项目支出绩效自评表</w:t>
            </w:r>
          </w:p>
        </w:tc>
        <w:tc>
          <w:tcPr>
            <w:tcW w:w="500"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473"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299"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196"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172"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597"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499" w:hRule="atLeast"/>
        </w:trPr>
        <w:tc>
          <w:tcPr>
            <w:tcW w:w="5000" w:type="pct"/>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360" w:hRule="atLeast"/>
        </w:trPr>
        <w:tc>
          <w:tcPr>
            <w:tcW w:w="5000" w:type="pct"/>
            <w:gridSpan w:val="11"/>
            <w:tcBorders>
              <w:top w:val="nil"/>
              <w:left w:val="nil"/>
              <w:bottom w:val="nil"/>
              <w:right w:val="nil"/>
            </w:tcBorders>
            <w:shd w:val="clear" w:color="auto" w:fill="auto"/>
            <w:noWrap/>
            <w:tcMar>
              <w:top w:w="15" w:type="dxa"/>
              <w:left w:w="15" w:type="dxa"/>
              <w:right w:w="15" w:type="dxa"/>
            </w:tcMar>
            <w:vAlign w:val="top"/>
          </w:tcPr>
          <w:p>
            <w:pPr>
              <w:keepNext w:val="0"/>
              <w:keepLines w:val="0"/>
              <w:widowControl/>
              <w:suppressLineNumbers w:val="0"/>
              <w:spacing w:line="240" w:lineRule="auto"/>
              <w:ind w:left="0" w:leftChars="0" w:firstLine="0" w:firstLineChars="0"/>
              <w:jc w:val="center"/>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（2021年度）</w:t>
            </w:r>
          </w:p>
        </w:tc>
      </w:tr>
      <w:tr>
        <w:tblPrEx>
          <w:shd w:val="clear" w:color="auto" w:fill="auto"/>
          <w:tblCellMar>
            <w:top w:w="0" w:type="dxa"/>
            <w:left w:w="0" w:type="dxa"/>
            <w:bottom w:w="0" w:type="dxa"/>
            <w:right w:w="0" w:type="dxa"/>
          </w:tblCellMar>
        </w:tblPrEx>
        <w:trPr>
          <w:trHeight w:val="348" w:hRule="atLeast"/>
        </w:trPr>
        <w:tc>
          <w:tcPr>
            <w:tcW w:w="5000" w:type="pct"/>
            <w:gridSpan w:val="11"/>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spacing w:line="240" w:lineRule="auto"/>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填表人及联系方式：                        </w:t>
            </w:r>
          </w:p>
        </w:tc>
      </w:tr>
      <w:tr>
        <w:tblPrEx>
          <w:shd w:val="clear" w:color="auto" w:fill="auto"/>
          <w:tblCellMar>
            <w:top w:w="0" w:type="dxa"/>
            <w:left w:w="0" w:type="dxa"/>
            <w:bottom w:w="0" w:type="dxa"/>
            <w:right w:w="0" w:type="dxa"/>
          </w:tblCellMar>
        </w:tblPrEx>
        <w:trPr>
          <w:trHeight w:val="379" w:hRule="atLeast"/>
        </w:trPr>
        <w:tc>
          <w:tcPr>
            <w:tcW w:w="8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4138" w:type="pct"/>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统战特需费（党组织活动、文明单位创建活动经费）</w:t>
            </w:r>
          </w:p>
        </w:tc>
      </w:tr>
      <w:tr>
        <w:tblPrEx>
          <w:shd w:val="clear" w:color="auto" w:fill="auto"/>
          <w:tblCellMar>
            <w:top w:w="0" w:type="dxa"/>
            <w:left w:w="0" w:type="dxa"/>
            <w:bottom w:w="0" w:type="dxa"/>
            <w:right w:w="0" w:type="dxa"/>
          </w:tblCellMar>
        </w:tblPrEx>
        <w:trPr>
          <w:trHeight w:val="379" w:hRule="atLeast"/>
        </w:trPr>
        <w:tc>
          <w:tcPr>
            <w:tcW w:w="8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主管部门及代码</w:t>
            </w:r>
          </w:p>
        </w:tc>
        <w:tc>
          <w:tcPr>
            <w:tcW w:w="2400"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中共三门峡市委统一战线工作部</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26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中共三门峡市委统一战线工作部</w:t>
            </w:r>
          </w:p>
        </w:tc>
      </w:tr>
      <w:tr>
        <w:tblPrEx>
          <w:shd w:val="clear" w:color="auto" w:fill="auto"/>
          <w:tblCellMar>
            <w:top w:w="0" w:type="dxa"/>
            <w:left w:w="0" w:type="dxa"/>
            <w:bottom w:w="0" w:type="dxa"/>
            <w:right w:w="0" w:type="dxa"/>
          </w:tblCellMar>
        </w:tblPrEx>
        <w:trPr>
          <w:trHeight w:val="379" w:hRule="atLeast"/>
        </w:trPr>
        <w:tc>
          <w:tcPr>
            <w:tcW w:w="86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9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5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shd w:val="clear" w:color="auto" w:fill="auto"/>
          <w:tblCellMar>
            <w:top w:w="0" w:type="dxa"/>
            <w:left w:w="0" w:type="dxa"/>
            <w:bottom w:w="0" w:type="dxa"/>
            <w:right w:w="0" w:type="dxa"/>
          </w:tblCellMar>
        </w:tblPrEx>
        <w:trPr>
          <w:trHeight w:val="379" w:hRule="atLeast"/>
        </w:trPr>
        <w:tc>
          <w:tcPr>
            <w:tcW w:w="8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9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38.31</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38.31</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5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shd w:val="clear" w:color="auto" w:fill="auto"/>
          <w:tblCellMar>
            <w:top w:w="0" w:type="dxa"/>
            <w:left w:w="0" w:type="dxa"/>
            <w:bottom w:w="0" w:type="dxa"/>
            <w:right w:w="0" w:type="dxa"/>
          </w:tblCellMar>
        </w:tblPrEx>
        <w:trPr>
          <w:trHeight w:val="379" w:hRule="atLeast"/>
        </w:trPr>
        <w:tc>
          <w:tcPr>
            <w:tcW w:w="8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9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38.31</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38.31</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5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79" w:hRule="atLeast"/>
        </w:trPr>
        <w:tc>
          <w:tcPr>
            <w:tcW w:w="8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9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79" w:hRule="atLeast"/>
        </w:trPr>
        <w:tc>
          <w:tcPr>
            <w:tcW w:w="44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282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173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240"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282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贯彻落实党对统一战线工作集中统一领导的要求，发挥市委在统一战线工作方面的参谋机构、组织协调机构、具体执行机构、督促检查机构作用。贯彻落实党中央、省委、市委关于统一战线工作的决策部署，了解情况、掌握政策、协调关系、安排人事、增进共识、加强团结，协调统一战线各方面关系，巩固壮大最广泛的统一战线。</w:t>
            </w:r>
          </w:p>
        </w:tc>
        <w:tc>
          <w:tcPr>
            <w:tcW w:w="173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已完成</w:t>
            </w:r>
          </w:p>
        </w:tc>
      </w:tr>
      <w:tr>
        <w:tblPrEx>
          <w:shd w:val="clear" w:color="auto" w:fill="auto"/>
          <w:tblCellMar>
            <w:top w:w="0" w:type="dxa"/>
            <w:left w:w="0" w:type="dxa"/>
            <w:bottom w:w="0" w:type="dxa"/>
            <w:right w:w="0" w:type="dxa"/>
          </w:tblCellMar>
        </w:tblPrEx>
        <w:trPr>
          <w:trHeight w:val="540" w:hRule="atLeast"/>
        </w:trPr>
        <w:tc>
          <w:tcPr>
            <w:tcW w:w="44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效</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标</w:t>
            </w: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4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379"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指标1：培训次数</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指标2：宣传统战工作完成率</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指标3：党建活动完成率</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指标4：创建文明单位开展活动完成率</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82"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指标5：召开统战工作会议</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指标1：培训签到率</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指标2：宣传统战工作覆盖率</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指标3：创建文明单位开展活动覆盖率</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82"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指标4：召开统战工作会议签到率</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指标1：培训及时性</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2021年4月</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于2021年4月已完成</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指标2：宣传统战工作及时性</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指标3：创建文明单位开展活动及时性</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40"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指标4：召开统战工作会议及时性</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2021年3月</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于2021年3月已完成</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指标1：总成本</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≤45万</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38.31万元</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指标1：强化干部政治意识，加强统战干部队伍建设</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加强</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指标2：围绕中心服务大局，凝心聚力</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加强</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指标1：持续保持统一战线工作的深入发展</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保持</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4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指标1：受益对象满意度</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3735"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5000" w:type="pct"/>
            <w:gridSpan w:val="11"/>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注：1.绩效自评采取打分评价的形式，</w:t>
            </w:r>
            <w:r>
              <w:rPr>
                <w:rStyle w:val="30"/>
                <w:lang w:val="en-US" w:eastAsia="zh-CN" w:bidi="ar"/>
              </w:rPr>
              <w:t>原则上一级指标分值统一设置为：产出指标50分、效益指标30分、服务对象满意度10分、预算资金执行率10分。2.偏差原因分析及改进措施：说明偏离目标、不能完成目标的原因及改进措施。 3.定性指标根据指标完成情况分为达成预期指标、部分达成预期指标并具有一定效果、未达成预期指标且效果较差三档，分别按照该指标对应分值区间100％-80％(含)、80％-60％(含)、60％-0％合理确定分值。定量指标完成指标值的，记该指标所赋全部分值；未完成的，按照完成值与指标值的比例计分。</w:t>
            </w:r>
          </w:p>
        </w:tc>
      </w:tr>
      <w:tr>
        <w:tblPrEx>
          <w:shd w:val="clear" w:color="auto" w:fill="auto"/>
          <w:tblCellMar>
            <w:top w:w="0" w:type="dxa"/>
            <w:left w:w="0" w:type="dxa"/>
            <w:bottom w:w="0" w:type="dxa"/>
            <w:right w:w="0" w:type="dxa"/>
          </w:tblCellMar>
        </w:tblPrEx>
        <w:trPr>
          <w:trHeight w:val="450"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60"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bl>
    <w:p>
      <w:pPr>
        <w:ind w:left="0" w:leftChars="0" w:firstLine="0" w:firstLineChars="0"/>
      </w:pPr>
    </w:p>
    <w:sectPr>
      <w:footerReference r:id="rId7" w:type="default"/>
      <w:pgSz w:w="16838" w:h="11906" w:orient="landscape"/>
      <w:pgMar w:top="1797" w:right="1440" w:bottom="1797" w:left="1440" w:header="851" w:footer="992" w:gutter="0"/>
      <w:pgNumType w:fmt="decimal"/>
      <w:cols w:space="425" w:num="1"/>
      <w:docGrid w:type="linesAndChar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5">
      <wne:acd wne:acdName="acd3"/>
    </wne:keymap>
  </wne:keymaps>
  <wne:acds>
    <wne:acd wne:argValue="AQAAAAAA" wne:acdName="acd0" wne:fciIndexBasedOn="0065"/>
    <wne:acd wne:argValue="AQAAAAIA" wne:acdName="acd1" wne:fciIndexBasedOn="0065"/>
    <wne:acd wne:argValue="AQAAAAMA" wne:acdName="acd2" wne:fciIndexBasedOn="0065"/>
    <wne:acd wne:argValue="AgBoiDxo" wne:acdName="acd3"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5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5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5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560"/>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F18868"/>
    <w:multiLevelType w:val="singleLevel"/>
    <w:tmpl w:val="41F18868"/>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8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zOTdhZGU0ZjA2NmFkYzhlMGFjZTA1YzM1YWEzY2UifQ=="/>
  </w:docVars>
  <w:rsids>
    <w:rsidRoot w:val="00172A27"/>
    <w:rsid w:val="00000467"/>
    <w:rsid w:val="00014831"/>
    <w:rsid w:val="00015EA2"/>
    <w:rsid w:val="00017BC4"/>
    <w:rsid w:val="00020A09"/>
    <w:rsid w:val="00033BB4"/>
    <w:rsid w:val="0003465C"/>
    <w:rsid w:val="0007513C"/>
    <w:rsid w:val="00084C11"/>
    <w:rsid w:val="000A5385"/>
    <w:rsid w:val="000A56EE"/>
    <w:rsid w:val="000E7769"/>
    <w:rsid w:val="00107A3B"/>
    <w:rsid w:val="00111C89"/>
    <w:rsid w:val="00114002"/>
    <w:rsid w:val="001209A1"/>
    <w:rsid w:val="00124E12"/>
    <w:rsid w:val="00134BDF"/>
    <w:rsid w:val="001372F1"/>
    <w:rsid w:val="00143FC7"/>
    <w:rsid w:val="00172020"/>
    <w:rsid w:val="00173BDA"/>
    <w:rsid w:val="00183550"/>
    <w:rsid w:val="00187CCE"/>
    <w:rsid w:val="00195B9E"/>
    <w:rsid w:val="001971D2"/>
    <w:rsid w:val="001B0C73"/>
    <w:rsid w:val="001B6E21"/>
    <w:rsid w:val="001C2BC4"/>
    <w:rsid w:val="001C4182"/>
    <w:rsid w:val="001D3BA3"/>
    <w:rsid w:val="001D6625"/>
    <w:rsid w:val="00206C6A"/>
    <w:rsid w:val="00224728"/>
    <w:rsid w:val="00227546"/>
    <w:rsid w:val="002463A3"/>
    <w:rsid w:val="002507E2"/>
    <w:rsid w:val="002525ED"/>
    <w:rsid w:val="00252BB8"/>
    <w:rsid w:val="002649B8"/>
    <w:rsid w:val="00265560"/>
    <w:rsid w:val="002A61B1"/>
    <w:rsid w:val="002B6AB4"/>
    <w:rsid w:val="002B779B"/>
    <w:rsid w:val="002C32A5"/>
    <w:rsid w:val="002D335B"/>
    <w:rsid w:val="002E2F3F"/>
    <w:rsid w:val="002F169E"/>
    <w:rsid w:val="00302EE8"/>
    <w:rsid w:val="00303563"/>
    <w:rsid w:val="00335542"/>
    <w:rsid w:val="00337A20"/>
    <w:rsid w:val="003477C0"/>
    <w:rsid w:val="00357430"/>
    <w:rsid w:val="0035746E"/>
    <w:rsid w:val="003740DA"/>
    <w:rsid w:val="00397BDC"/>
    <w:rsid w:val="003C1582"/>
    <w:rsid w:val="003D69A6"/>
    <w:rsid w:val="003E1139"/>
    <w:rsid w:val="003E1513"/>
    <w:rsid w:val="003E56BE"/>
    <w:rsid w:val="003E5C49"/>
    <w:rsid w:val="003E69D2"/>
    <w:rsid w:val="00402DC2"/>
    <w:rsid w:val="004034F0"/>
    <w:rsid w:val="00410C6F"/>
    <w:rsid w:val="0042364F"/>
    <w:rsid w:val="004333B5"/>
    <w:rsid w:val="00441F6E"/>
    <w:rsid w:val="004478BE"/>
    <w:rsid w:val="004839E2"/>
    <w:rsid w:val="004869ED"/>
    <w:rsid w:val="00496DC4"/>
    <w:rsid w:val="004B04EA"/>
    <w:rsid w:val="004B274D"/>
    <w:rsid w:val="004B59BE"/>
    <w:rsid w:val="004B702C"/>
    <w:rsid w:val="004C4A8B"/>
    <w:rsid w:val="004C73AE"/>
    <w:rsid w:val="004D1D02"/>
    <w:rsid w:val="004D38F1"/>
    <w:rsid w:val="004E5F55"/>
    <w:rsid w:val="00500253"/>
    <w:rsid w:val="00511AED"/>
    <w:rsid w:val="00532771"/>
    <w:rsid w:val="005360C8"/>
    <w:rsid w:val="00544CD5"/>
    <w:rsid w:val="00546688"/>
    <w:rsid w:val="005A1AFF"/>
    <w:rsid w:val="005A4096"/>
    <w:rsid w:val="005A5773"/>
    <w:rsid w:val="005B558F"/>
    <w:rsid w:val="005B5B94"/>
    <w:rsid w:val="005C4E72"/>
    <w:rsid w:val="005D1837"/>
    <w:rsid w:val="005D751E"/>
    <w:rsid w:val="005E2918"/>
    <w:rsid w:val="006067A5"/>
    <w:rsid w:val="00612F8F"/>
    <w:rsid w:val="00617387"/>
    <w:rsid w:val="006219B2"/>
    <w:rsid w:val="00634FF9"/>
    <w:rsid w:val="00636695"/>
    <w:rsid w:val="00642BB8"/>
    <w:rsid w:val="006447D8"/>
    <w:rsid w:val="006564C8"/>
    <w:rsid w:val="00671DEC"/>
    <w:rsid w:val="00682436"/>
    <w:rsid w:val="00687B10"/>
    <w:rsid w:val="00696AC7"/>
    <w:rsid w:val="006A0C3B"/>
    <w:rsid w:val="006E18D1"/>
    <w:rsid w:val="006F4D2E"/>
    <w:rsid w:val="006F7BD2"/>
    <w:rsid w:val="00707F5E"/>
    <w:rsid w:val="00722BF5"/>
    <w:rsid w:val="00722EB4"/>
    <w:rsid w:val="007245B6"/>
    <w:rsid w:val="00731FB1"/>
    <w:rsid w:val="00732859"/>
    <w:rsid w:val="00733D5C"/>
    <w:rsid w:val="00735E28"/>
    <w:rsid w:val="00761B7C"/>
    <w:rsid w:val="00766ECA"/>
    <w:rsid w:val="00775087"/>
    <w:rsid w:val="00787EC4"/>
    <w:rsid w:val="007D3F2B"/>
    <w:rsid w:val="007D46F5"/>
    <w:rsid w:val="007D5474"/>
    <w:rsid w:val="007E038E"/>
    <w:rsid w:val="007E3BBD"/>
    <w:rsid w:val="007E5459"/>
    <w:rsid w:val="007E62E5"/>
    <w:rsid w:val="00801C96"/>
    <w:rsid w:val="00824FE0"/>
    <w:rsid w:val="00834760"/>
    <w:rsid w:val="00847FDB"/>
    <w:rsid w:val="00865BF0"/>
    <w:rsid w:val="00881F40"/>
    <w:rsid w:val="00895EDD"/>
    <w:rsid w:val="008A0688"/>
    <w:rsid w:val="008A4705"/>
    <w:rsid w:val="008C005F"/>
    <w:rsid w:val="008C5DBA"/>
    <w:rsid w:val="008D1D7D"/>
    <w:rsid w:val="008E6B96"/>
    <w:rsid w:val="008F2D7E"/>
    <w:rsid w:val="008F4C9D"/>
    <w:rsid w:val="00934336"/>
    <w:rsid w:val="009422C0"/>
    <w:rsid w:val="00970DB8"/>
    <w:rsid w:val="009778B5"/>
    <w:rsid w:val="00984FD9"/>
    <w:rsid w:val="00987BBA"/>
    <w:rsid w:val="00996076"/>
    <w:rsid w:val="009A179D"/>
    <w:rsid w:val="009C3CD7"/>
    <w:rsid w:val="009D346F"/>
    <w:rsid w:val="009E1278"/>
    <w:rsid w:val="009E624C"/>
    <w:rsid w:val="009F1EC3"/>
    <w:rsid w:val="00A02EC6"/>
    <w:rsid w:val="00A06E53"/>
    <w:rsid w:val="00A1660B"/>
    <w:rsid w:val="00A31898"/>
    <w:rsid w:val="00A34962"/>
    <w:rsid w:val="00A40895"/>
    <w:rsid w:val="00A43398"/>
    <w:rsid w:val="00A44857"/>
    <w:rsid w:val="00A63B01"/>
    <w:rsid w:val="00A7105B"/>
    <w:rsid w:val="00A75DD3"/>
    <w:rsid w:val="00A82F02"/>
    <w:rsid w:val="00AB3EF4"/>
    <w:rsid w:val="00AC11B2"/>
    <w:rsid w:val="00AD4EBA"/>
    <w:rsid w:val="00AF224E"/>
    <w:rsid w:val="00AF6F73"/>
    <w:rsid w:val="00B14E63"/>
    <w:rsid w:val="00B40DB3"/>
    <w:rsid w:val="00B466AA"/>
    <w:rsid w:val="00B62F12"/>
    <w:rsid w:val="00B63496"/>
    <w:rsid w:val="00B81089"/>
    <w:rsid w:val="00B8648A"/>
    <w:rsid w:val="00BD7931"/>
    <w:rsid w:val="00BE677A"/>
    <w:rsid w:val="00C21D02"/>
    <w:rsid w:val="00C35AE1"/>
    <w:rsid w:val="00C66709"/>
    <w:rsid w:val="00C71C69"/>
    <w:rsid w:val="00C80024"/>
    <w:rsid w:val="00CB54A7"/>
    <w:rsid w:val="00CB710C"/>
    <w:rsid w:val="00CD2B60"/>
    <w:rsid w:val="00CF2DA9"/>
    <w:rsid w:val="00CF491C"/>
    <w:rsid w:val="00D07830"/>
    <w:rsid w:val="00D15E31"/>
    <w:rsid w:val="00D476C0"/>
    <w:rsid w:val="00D70EB7"/>
    <w:rsid w:val="00D7279B"/>
    <w:rsid w:val="00D9580A"/>
    <w:rsid w:val="00DA2131"/>
    <w:rsid w:val="00DA365D"/>
    <w:rsid w:val="00DC0EB4"/>
    <w:rsid w:val="00DD348E"/>
    <w:rsid w:val="00DD78B0"/>
    <w:rsid w:val="00E008C2"/>
    <w:rsid w:val="00E12715"/>
    <w:rsid w:val="00E24223"/>
    <w:rsid w:val="00E56A15"/>
    <w:rsid w:val="00E731B0"/>
    <w:rsid w:val="00E750CA"/>
    <w:rsid w:val="00E80793"/>
    <w:rsid w:val="00E81348"/>
    <w:rsid w:val="00E82D87"/>
    <w:rsid w:val="00E96285"/>
    <w:rsid w:val="00EB256C"/>
    <w:rsid w:val="00EB37C1"/>
    <w:rsid w:val="00ED2DB2"/>
    <w:rsid w:val="00EE3F62"/>
    <w:rsid w:val="00EE5338"/>
    <w:rsid w:val="00F03325"/>
    <w:rsid w:val="00F04028"/>
    <w:rsid w:val="00F10B47"/>
    <w:rsid w:val="00F37DD9"/>
    <w:rsid w:val="00F5485B"/>
    <w:rsid w:val="00F737AF"/>
    <w:rsid w:val="00F8011D"/>
    <w:rsid w:val="00F85591"/>
    <w:rsid w:val="00F93752"/>
    <w:rsid w:val="00FB028C"/>
    <w:rsid w:val="00FC619A"/>
    <w:rsid w:val="00FE4427"/>
    <w:rsid w:val="00FE5E78"/>
    <w:rsid w:val="00FF64F1"/>
    <w:rsid w:val="01181797"/>
    <w:rsid w:val="014852B3"/>
    <w:rsid w:val="01645940"/>
    <w:rsid w:val="03C660F1"/>
    <w:rsid w:val="042B4352"/>
    <w:rsid w:val="06DD5138"/>
    <w:rsid w:val="07342079"/>
    <w:rsid w:val="076F3599"/>
    <w:rsid w:val="07AD2313"/>
    <w:rsid w:val="08B12A86"/>
    <w:rsid w:val="08DC5C59"/>
    <w:rsid w:val="09034D82"/>
    <w:rsid w:val="0C3E78AD"/>
    <w:rsid w:val="0EE02FCE"/>
    <w:rsid w:val="0F3E7D27"/>
    <w:rsid w:val="11D14067"/>
    <w:rsid w:val="12AB56A1"/>
    <w:rsid w:val="13920E13"/>
    <w:rsid w:val="141538E8"/>
    <w:rsid w:val="15093F8D"/>
    <w:rsid w:val="165E664F"/>
    <w:rsid w:val="1B002515"/>
    <w:rsid w:val="1B2949C3"/>
    <w:rsid w:val="1BA50EE0"/>
    <w:rsid w:val="1CBF4C66"/>
    <w:rsid w:val="21032E75"/>
    <w:rsid w:val="225A1888"/>
    <w:rsid w:val="2449572C"/>
    <w:rsid w:val="245071DF"/>
    <w:rsid w:val="2636356A"/>
    <w:rsid w:val="27DE25A1"/>
    <w:rsid w:val="27FB4BBD"/>
    <w:rsid w:val="2808187A"/>
    <w:rsid w:val="28577A06"/>
    <w:rsid w:val="2A024207"/>
    <w:rsid w:val="2AC43CA3"/>
    <w:rsid w:val="2AE845D1"/>
    <w:rsid w:val="2CFF241A"/>
    <w:rsid w:val="30FD39D4"/>
    <w:rsid w:val="330A5E60"/>
    <w:rsid w:val="340A4177"/>
    <w:rsid w:val="358D1218"/>
    <w:rsid w:val="37360FC5"/>
    <w:rsid w:val="37C3132D"/>
    <w:rsid w:val="390B472B"/>
    <w:rsid w:val="39F2109B"/>
    <w:rsid w:val="3A0B0AA5"/>
    <w:rsid w:val="3B080524"/>
    <w:rsid w:val="3D503EFE"/>
    <w:rsid w:val="3DB34C73"/>
    <w:rsid w:val="408C5853"/>
    <w:rsid w:val="40997BDB"/>
    <w:rsid w:val="416056FA"/>
    <w:rsid w:val="41A14063"/>
    <w:rsid w:val="42BC5F41"/>
    <w:rsid w:val="441E6300"/>
    <w:rsid w:val="44B45B8A"/>
    <w:rsid w:val="44B6701F"/>
    <w:rsid w:val="476060E7"/>
    <w:rsid w:val="4A444F41"/>
    <w:rsid w:val="4BFD46C9"/>
    <w:rsid w:val="4E992DD9"/>
    <w:rsid w:val="4ED05370"/>
    <w:rsid w:val="50C37060"/>
    <w:rsid w:val="533F163E"/>
    <w:rsid w:val="53775BBF"/>
    <w:rsid w:val="55F834F4"/>
    <w:rsid w:val="568847FB"/>
    <w:rsid w:val="590F66E8"/>
    <w:rsid w:val="594159E5"/>
    <w:rsid w:val="59AB37A9"/>
    <w:rsid w:val="5B7C1085"/>
    <w:rsid w:val="5E7C3872"/>
    <w:rsid w:val="60B20729"/>
    <w:rsid w:val="61171725"/>
    <w:rsid w:val="611D2AF0"/>
    <w:rsid w:val="61D55EE1"/>
    <w:rsid w:val="63BF54E2"/>
    <w:rsid w:val="65091475"/>
    <w:rsid w:val="65756EE1"/>
    <w:rsid w:val="65A17FA7"/>
    <w:rsid w:val="66183BD1"/>
    <w:rsid w:val="666D63A3"/>
    <w:rsid w:val="67611587"/>
    <w:rsid w:val="687359C0"/>
    <w:rsid w:val="69312D5B"/>
    <w:rsid w:val="6A7F45BF"/>
    <w:rsid w:val="6C3E641F"/>
    <w:rsid w:val="6E16024E"/>
    <w:rsid w:val="70493BA2"/>
    <w:rsid w:val="717D7E1A"/>
    <w:rsid w:val="72B8241C"/>
    <w:rsid w:val="74AD3F2D"/>
    <w:rsid w:val="7532031C"/>
    <w:rsid w:val="7551063B"/>
    <w:rsid w:val="75785DD5"/>
    <w:rsid w:val="760342F6"/>
    <w:rsid w:val="763243C5"/>
    <w:rsid w:val="77753743"/>
    <w:rsid w:val="78087C8D"/>
    <w:rsid w:val="789E7920"/>
    <w:rsid w:val="7B563A2D"/>
    <w:rsid w:val="7BF344C5"/>
    <w:rsid w:val="7BF34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nhideWhenUsed="0" w:uiPriority="0" w:semiHidden="0"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1044" w:firstLineChars="200"/>
      <w:jc w:val="both"/>
    </w:pPr>
    <w:rPr>
      <w:rFonts w:ascii="仿宋" w:hAnsi="仿宋" w:eastAsia="仿宋" w:cstheme="minorBidi"/>
      <w:kern w:val="2"/>
      <w:sz w:val="32"/>
      <w:szCs w:val="32"/>
      <w:lang w:val="en-US" w:eastAsia="zh-CN" w:bidi="ar-SA"/>
    </w:rPr>
  </w:style>
  <w:style w:type="paragraph" w:styleId="3">
    <w:name w:val="heading 1"/>
    <w:basedOn w:val="1"/>
    <w:next w:val="1"/>
    <w:link w:val="16"/>
    <w:qFormat/>
    <w:uiPriority w:val="9"/>
    <w:pPr>
      <w:keepNext/>
      <w:keepLines/>
      <w:ind w:firstLine="0" w:firstLineChars="0"/>
      <w:jc w:val="left"/>
      <w:outlineLvl w:val="0"/>
    </w:pPr>
    <w:rPr>
      <w:rFonts w:ascii="黑体" w:hAnsi="黑体" w:eastAsia="黑体"/>
      <w:b/>
      <w:bCs/>
      <w:kern w:val="44"/>
    </w:rPr>
  </w:style>
  <w:style w:type="paragraph" w:styleId="4">
    <w:name w:val="heading 2"/>
    <w:basedOn w:val="1"/>
    <w:next w:val="5"/>
    <w:link w:val="18"/>
    <w:unhideWhenUsed/>
    <w:qFormat/>
    <w:uiPriority w:val="9"/>
    <w:pPr>
      <w:keepNext/>
      <w:keepLines/>
      <w:ind w:firstLine="0" w:firstLineChars="0"/>
      <w:jc w:val="left"/>
      <w:outlineLvl w:val="1"/>
    </w:pPr>
    <w:rPr>
      <w:rFonts w:ascii="楷体" w:hAnsi="楷体" w:eastAsia="楷体" w:cstheme="majorBidi"/>
      <w:b/>
      <w:bCs/>
    </w:rPr>
  </w:style>
  <w:style w:type="paragraph" w:styleId="5">
    <w:name w:val="heading 3"/>
    <w:basedOn w:val="1"/>
    <w:next w:val="1"/>
    <w:link w:val="21"/>
    <w:unhideWhenUsed/>
    <w:qFormat/>
    <w:uiPriority w:val="9"/>
    <w:pPr>
      <w:keepNext/>
      <w:keepLines/>
      <w:ind w:firstLine="200"/>
      <w:jc w:val="left"/>
      <w:outlineLvl w:val="2"/>
    </w:pPr>
    <w:rPr>
      <w:rFonts w:ascii="宋体" w:hAnsi="宋体"/>
      <w:b/>
      <w:bCs/>
    </w:rPr>
  </w:style>
  <w:style w:type="paragraph" w:styleId="6">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ind w:left="0" w:firstLine="638"/>
    </w:pPr>
    <w:rPr>
      <w:rFonts w:ascii="宋体" w:hAnsi="宋体" w:eastAsia="仿宋"/>
    </w:rPr>
  </w:style>
  <w:style w:type="paragraph" w:styleId="7">
    <w:name w:val="annotation text"/>
    <w:basedOn w:val="1"/>
    <w:qFormat/>
    <w:uiPriority w:val="0"/>
    <w:pPr>
      <w:jc w:val="left"/>
    </w:pPr>
  </w:style>
  <w:style w:type="paragraph" w:styleId="8">
    <w:name w:val="toc 3"/>
    <w:basedOn w:val="1"/>
    <w:next w:val="1"/>
    <w:unhideWhenUsed/>
    <w:qFormat/>
    <w:uiPriority w:val="39"/>
    <w:pPr>
      <w:ind w:left="840" w:leftChars="400"/>
    </w:pPr>
  </w:style>
  <w:style w:type="paragraph" w:styleId="9">
    <w:name w:val="footer"/>
    <w:basedOn w:val="1"/>
    <w:link w:val="20"/>
    <w:unhideWhenUsed/>
    <w:qFormat/>
    <w:uiPriority w:val="99"/>
    <w:pPr>
      <w:tabs>
        <w:tab w:val="center" w:pos="4153"/>
        <w:tab w:val="right" w:pos="8306"/>
      </w:tabs>
      <w:spacing w:line="240" w:lineRule="auto"/>
      <w:ind w:firstLine="0" w:firstLineChars="0"/>
      <w:jc w:val="left"/>
    </w:pPr>
    <w:rPr>
      <w:sz w:val="28"/>
      <w:szCs w:val="2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rPr>
  </w:style>
  <w:style w:type="paragraph" w:styleId="11">
    <w:name w:val="toc 1"/>
    <w:basedOn w:val="1"/>
    <w:next w:val="1"/>
    <w:unhideWhenUsed/>
    <w:qFormat/>
    <w:uiPriority w:val="39"/>
    <w:pPr>
      <w:tabs>
        <w:tab w:val="right" w:leader="dot" w:pos="8296"/>
      </w:tabs>
      <w:ind w:firstLine="0" w:firstLineChars="0"/>
      <w:jc w:val="center"/>
    </w:pPr>
    <w:rPr>
      <w:b/>
    </w:rPr>
  </w:style>
  <w:style w:type="paragraph" w:styleId="12">
    <w:name w:val="toc 2"/>
    <w:basedOn w:val="1"/>
    <w:next w:val="1"/>
    <w:unhideWhenUsed/>
    <w:qFormat/>
    <w:uiPriority w:val="39"/>
    <w:pPr>
      <w:ind w:left="420" w:leftChars="200" w:firstLine="0" w:firstLineChars="0"/>
    </w:p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标题 1 字符"/>
    <w:basedOn w:val="15"/>
    <w:link w:val="3"/>
    <w:qFormat/>
    <w:uiPriority w:val="9"/>
    <w:rPr>
      <w:rFonts w:ascii="黑体" w:hAnsi="黑体" w:eastAsia="黑体"/>
      <w:b/>
      <w:bCs/>
      <w:kern w:val="44"/>
      <w:sz w:val="32"/>
      <w:szCs w:val="32"/>
    </w:rPr>
  </w:style>
  <w:style w:type="paragraph" w:customStyle="1" w:styleId="17">
    <w:name w:val="表格"/>
    <w:basedOn w:val="1"/>
    <w:next w:val="1"/>
    <w:qFormat/>
    <w:uiPriority w:val="0"/>
    <w:pPr>
      <w:spacing w:line="240" w:lineRule="auto"/>
      <w:ind w:firstLine="0" w:firstLineChars="0"/>
      <w:jc w:val="center"/>
    </w:pPr>
    <w:rPr>
      <w:rFonts w:ascii="Times New Roman" w:hAnsi="Times New Roman"/>
      <w:sz w:val="24"/>
      <w:szCs w:val="24"/>
    </w:rPr>
  </w:style>
  <w:style w:type="character" w:customStyle="1" w:styleId="18">
    <w:name w:val="标题 2 字符"/>
    <w:basedOn w:val="15"/>
    <w:link w:val="4"/>
    <w:qFormat/>
    <w:uiPriority w:val="9"/>
    <w:rPr>
      <w:rFonts w:ascii="楷体" w:hAnsi="楷体" w:eastAsia="楷体" w:cstheme="majorBidi"/>
      <w:b/>
      <w:bCs/>
      <w:kern w:val="2"/>
      <w:sz w:val="32"/>
      <w:szCs w:val="32"/>
    </w:rPr>
  </w:style>
  <w:style w:type="paragraph" w:customStyle="1" w:styleId="19">
    <w:name w:val="表头"/>
    <w:basedOn w:val="1"/>
    <w:next w:val="1"/>
    <w:qFormat/>
    <w:uiPriority w:val="0"/>
    <w:pPr>
      <w:spacing w:before="100" w:after="100"/>
      <w:jc w:val="center"/>
    </w:pPr>
    <w:rPr>
      <w:rFonts w:ascii="Times New Roman" w:hAnsi="Times New Roman"/>
      <w:b/>
      <w:bCs/>
      <w:szCs w:val="28"/>
    </w:rPr>
  </w:style>
  <w:style w:type="character" w:customStyle="1" w:styleId="20">
    <w:name w:val="页脚 字符"/>
    <w:basedOn w:val="15"/>
    <w:link w:val="9"/>
    <w:qFormat/>
    <w:uiPriority w:val="99"/>
    <w:rPr>
      <w:rFonts w:eastAsia="仿宋"/>
      <w:sz w:val="28"/>
      <w:szCs w:val="28"/>
    </w:rPr>
  </w:style>
  <w:style w:type="character" w:customStyle="1" w:styleId="21">
    <w:name w:val="标题 3 字符"/>
    <w:basedOn w:val="15"/>
    <w:link w:val="5"/>
    <w:qFormat/>
    <w:uiPriority w:val="9"/>
    <w:rPr>
      <w:rFonts w:ascii="宋体" w:hAnsi="宋体" w:eastAsia="仿宋"/>
      <w:b/>
      <w:bCs/>
      <w:kern w:val="2"/>
      <w:sz w:val="32"/>
      <w:szCs w:val="32"/>
    </w:rPr>
  </w:style>
  <w:style w:type="character" w:customStyle="1" w:styleId="22">
    <w:name w:val="标题 4 字符"/>
    <w:basedOn w:val="15"/>
    <w:link w:val="6"/>
    <w:semiHidden/>
    <w:qFormat/>
    <w:uiPriority w:val="9"/>
    <w:rPr>
      <w:rFonts w:asciiTheme="majorHAnsi" w:hAnsiTheme="majorHAnsi" w:eastAsiaTheme="majorEastAsia" w:cstheme="majorBidi"/>
      <w:b/>
      <w:bCs/>
      <w:kern w:val="2"/>
      <w:sz w:val="28"/>
      <w:szCs w:val="28"/>
    </w:rPr>
  </w:style>
  <w:style w:type="paragraph" w:customStyle="1" w:styleId="23">
    <w:name w:val="本模板"/>
    <w:basedOn w:val="1"/>
    <w:next w:val="1"/>
    <w:qFormat/>
    <w:uiPriority w:val="0"/>
    <w:pPr>
      <w:ind w:firstLine="0" w:firstLineChars="0"/>
      <w:jc w:val="center"/>
    </w:pPr>
  </w:style>
  <w:style w:type="paragraph" w:customStyle="1" w:styleId="24">
    <w:name w:val="由"/>
    <w:basedOn w:val="1"/>
    <w:qFormat/>
    <w:uiPriority w:val="0"/>
    <w:pPr>
      <w:ind w:firstLine="0" w:firstLineChars="0"/>
      <w:jc w:val="center"/>
    </w:pPr>
  </w:style>
  <w:style w:type="paragraph" w:customStyle="1" w:styleId="25">
    <w:name w:val="昭元绩效"/>
    <w:basedOn w:val="1"/>
    <w:qFormat/>
    <w:uiPriority w:val="0"/>
    <w:pPr>
      <w:spacing w:line="360" w:lineRule="auto"/>
      <w:ind w:firstLine="0" w:firstLineChars="0"/>
      <w:jc w:val="center"/>
    </w:pPr>
    <w:rPr>
      <w:rFonts w:eastAsia="宋体"/>
      <w:b/>
      <w:bCs/>
      <w:sz w:val="44"/>
      <w:szCs w:val="44"/>
    </w:rPr>
  </w:style>
  <w:style w:type="paragraph" w:customStyle="1" w:styleId="26">
    <w:name w:val="提供"/>
    <w:basedOn w:val="1"/>
    <w:qFormat/>
    <w:uiPriority w:val="0"/>
    <w:pPr>
      <w:ind w:firstLine="0" w:firstLineChars="0"/>
      <w:jc w:val="center"/>
    </w:pPr>
  </w:style>
  <w:style w:type="paragraph" w:customStyle="1" w:styleId="27">
    <w:name w:val="版权所有"/>
    <w:basedOn w:val="1"/>
    <w:qFormat/>
    <w:uiPriority w:val="0"/>
    <w:pPr>
      <w:ind w:firstLine="0" w:firstLineChars="0"/>
      <w:jc w:val="center"/>
    </w:pPr>
  </w:style>
  <w:style w:type="paragraph" w:customStyle="1" w:styleId="28">
    <w:name w:val="电话15515993457"/>
    <w:basedOn w:val="1"/>
    <w:qFormat/>
    <w:uiPriority w:val="0"/>
    <w:pPr>
      <w:ind w:firstLine="0" w:firstLineChars="0"/>
      <w:jc w:val="center"/>
    </w:pPr>
  </w:style>
  <w:style w:type="character" w:customStyle="1" w:styleId="29">
    <w:name w:val="font61"/>
    <w:basedOn w:val="15"/>
    <w:qFormat/>
    <w:uiPriority w:val="0"/>
    <w:rPr>
      <w:rFonts w:hint="eastAsia" w:ascii="宋体" w:hAnsi="宋体" w:eastAsia="宋体" w:cs="宋体"/>
      <w:color w:val="000000"/>
      <w:sz w:val="18"/>
      <w:szCs w:val="18"/>
      <w:u w:val="none"/>
    </w:rPr>
  </w:style>
  <w:style w:type="character" w:customStyle="1" w:styleId="30">
    <w:name w:val="font21"/>
    <w:basedOn w:val="15"/>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99D5DC-E1BF-468F-8212-19D77A8739EF}">
  <ds:schemaRefs/>
</ds:datastoreItem>
</file>

<file path=docProps/app.xml><?xml version="1.0" encoding="utf-8"?>
<Properties xmlns="http://schemas.openxmlformats.org/officeDocument/2006/extended-properties" xmlns:vt="http://schemas.openxmlformats.org/officeDocument/2006/docPropsVTypes">
  <Template>Normal.dotm</Template>
  <Manager>郭良雨</Manager>
  <Company>昭元绩效</Company>
  <Pages>14</Pages>
  <Words>5679</Words>
  <Characters>5997</Characters>
  <Lines>42</Lines>
  <Paragraphs>11</Paragraphs>
  <TotalTime>0</TotalTime>
  <ScaleCrop>false</ScaleCrop>
  <LinksUpToDate>false</LinksUpToDate>
  <CharactersWithSpaces>6052</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15515993457</cp:category>
  <dcterms:created xsi:type="dcterms:W3CDTF">2021-08-08T08:37:00Z</dcterms:created>
  <dc:creator>hnzyzd@163.com; 昭元绩效</dc:creator>
  <dc:description>昭元自评模板</dc:description>
  <cp:keywords>15515993457</cp:keywords>
  <cp:lastModifiedBy>Administrator</cp:lastModifiedBy>
  <dcterms:modified xsi:type="dcterms:W3CDTF">2022-06-07T03:30:44Z</dcterms:modified>
  <dc:subject>15515993457</dc:subject>
  <dc:title>昭元自评模板</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8040E5319DF8438F9AF461AC7598704D</vt:lpwstr>
  </property>
</Properties>
</file>