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pPr>
      <w:bookmarkStart w:id="0" w:name="_Toc11908"/>
    </w:p>
    <w:p>
      <w:pPr>
        <w:ind w:firstLine="0" w:firstLineChars="0"/>
        <w:jc w:val="center"/>
        <w:rPr>
          <w:rFonts w:ascii="宋体" w:hAnsi="宋体" w:eastAsia="宋体"/>
          <w:b/>
          <w:sz w:val="52"/>
          <w:szCs w:val="52"/>
        </w:rPr>
      </w:pPr>
    </w:p>
    <w:p>
      <w:pPr>
        <w:pStyle w:val="25"/>
        <w:rPr>
          <w:rFonts w:hint="eastAsia" w:ascii="宋体" w:hAnsi="宋体" w:cs="宋体"/>
          <w:sz w:val="52"/>
          <w:szCs w:val="52"/>
        </w:rPr>
      </w:pPr>
      <w:r>
        <w:rPr>
          <w:rFonts w:hint="eastAsia" w:ascii="宋体" w:hAnsi="宋体" w:cs="宋体"/>
          <w:sz w:val="52"/>
          <w:szCs w:val="52"/>
        </w:rPr>
        <w:t>党外人士调研、培训、联谊经费</w:t>
      </w:r>
    </w:p>
    <w:p>
      <w:pPr>
        <w:pStyle w:val="25"/>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7"/>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highlight w:val="none"/>
        </w:rPr>
      </w:pPr>
      <w:r>
        <w:rPr>
          <w:rFonts w:hint="eastAsia" w:ascii="宋体" w:hAnsi="宋体" w:eastAsia="宋体"/>
          <w:b/>
          <w:highlight w:val="none"/>
        </w:rPr>
        <w:t>自评单位：中共三门峡市委统一战线工作部</w:t>
      </w:r>
    </w:p>
    <w:p>
      <w:pPr>
        <w:ind w:firstLine="0" w:firstLineChars="0"/>
        <w:jc w:val="center"/>
        <w:rPr>
          <w:rFonts w:ascii="宋体" w:hAnsi="宋体" w:eastAsia="宋体"/>
          <w:b/>
          <w:highlight w:val="none"/>
        </w:rPr>
      </w:pPr>
      <w:bookmarkStart w:id="72" w:name="_GoBack"/>
      <w:r>
        <w:rPr>
          <w:rFonts w:hint="eastAsia" w:ascii="宋体" w:hAnsi="宋体" w:eastAsia="宋体"/>
          <w:b/>
          <w:highlight w:val="none"/>
        </w:rPr>
        <w:t>日</w:t>
      </w:r>
      <w:r>
        <w:rPr>
          <w:rFonts w:ascii="宋体" w:hAnsi="宋体" w:eastAsia="宋体"/>
          <w:b/>
          <w:highlight w:val="none"/>
        </w:rPr>
        <w:t xml:space="preserve">    </w:t>
      </w:r>
      <w:r>
        <w:rPr>
          <w:rFonts w:hint="eastAsia" w:ascii="宋体" w:hAnsi="宋体" w:eastAsia="宋体"/>
          <w:b/>
          <w:highlight w:val="none"/>
        </w:rPr>
        <w:t>期：</w:t>
      </w:r>
      <w:r>
        <w:rPr>
          <w:rFonts w:hint="eastAsia" w:ascii="宋体" w:hAnsi="宋体" w:eastAsia="宋体"/>
          <w:b/>
          <w:highlight w:val="none"/>
          <w:lang w:val="en-US" w:eastAsia="zh-CN"/>
        </w:rPr>
        <w:t>2022</w:t>
      </w:r>
      <w:r>
        <w:rPr>
          <w:rFonts w:hint="eastAsia" w:ascii="宋体" w:hAnsi="宋体" w:eastAsia="宋体"/>
          <w:b/>
          <w:highlight w:val="none"/>
        </w:rPr>
        <w:t>年</w:t>
      </w:r>
      <w:r>
        <w:rPr>
          <w:rFonts w:hint="eastAsia" w:ascii="宋体" w:hAnsi="宋体" w:eastAsia="宋体"/>
          <w:b/>
          <w:highlight w:val="none"/>
          <w:lang w:val="en-US" w:eastAsia="zh-CN"/>
        </w:rPr>
        <w:t>5</w:t>
      </w:r>
      <w:r>
        <w:rPr>
          <w:rFonts w:hint="eastAsia" w:ascii="宋体" w:hAnsi="宋体" w:eastAsia="宋体"/>
          <w:b/>
          <w:highlight w:val="none"/>
        </w:rPr>
        <w:t>月</w:t>
      </w:r>
      <w:r>
        <w:rPr>
          <w:rFonts w:hint="eastAsia" w:ascii="宋体" w:hAnsi="宋体" w:eastAsia="宋体"/>
          <w:b/>
          <w:highlight w:val="none"/>
          <w:lang w:val="en-US" w:eastAsia="zh-CN"/>
        </w:rPr>
        <w:t>6</w:t>
      </w:r>
      <w:r>
        <w:rPr>
          <w:rFonts w:hint="eastAsia" w:ascii="宋体" w:hAnsi="宋体" w:eastAsia="宋体"/>
          <w:b/>
          <w:highlight w:val="none"/>
        </w:rPr>
        <w:t>日</w:t>
      </w:r>
    </w:p>
    <w:bookmarkEnd w:id="72"/>
    <w:p>
      <w:pPr>
        <w:pStyle w:val="11"/>
        <w:rPr>
          <w:highlight w:val="yellow"/>
        </w:rPr>
        <w:sectPr>
          <w:pgSz w:w="11906" w:h="16838"/>
          <w:pgMar w:top="1440" w:right="1800" w:bottom="1440" w:left="1800" w:header="851" w:footer="992" w:gutter="0"/>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1"/>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_Toc17887 </w:instrText>
      </w:r>
      <w:r>
        <w:fldChar w:fldCharType="separate"/>
      </w:r>
      <w:r>
        <w:rPr>
          <w:rFonts w:hint="eastAsia"/>
        </w:rPr>
        <w:t>一、项目基本情况</w:t>
      </w:r>
      <w:r>
        <w:tab/>
      </w:r>
      <w:r>
        <w:fldChar w:fldCharType="begin"/>
      </w:r>
      <w:r>
        <w:instrText xml:space="preserve"> PAGEREF _Toc17887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_Toc28598 </w:instrText>
      </w:r>
      <w:r>
        <w:fldChar w:fldCharType="separate"/>
      </w:r>
      <w:r>
        <w:rPr>
          <w:rFonts w:hint="eastAsia"/>
        </w:rPr>
        <w:t>（一）项目基本信息</w:t>
      </w:r>
      <w:r>
        <w:tab/>
      </w:r>
      <w:r>
        <w:fldChar w:fldCharType="begin"/>
      </w:r>
      <w:r>
        <w:instrText xml:space="preserve"> PAGEREF _Toc28598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_Toc26737 </w:instrText>
      </w:r>
      <w:r>
        <w:fldChar w:fldCharType="separate"/>
      </w:r>
      <w:r>
        <w:rPr>
          <w:rFonts w:hint="eastAsia"/>
        </w:rPr>
        <w:t>（二）项目支出情况</w:t>
      </w:r>
      <w:r>
        <w:tab/>
      </w:r>
      <w:r>
        <w:fldChar w:fldCharType="begin"/>
      </w:r>
      <w:r>
        <w:instrText xml:space="preserve"> PAGEREF _Toc26737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_Toc5039 </w:instrText>
      </w:r>
      <w:r>
        <w:fldChar w:fldCharType="separate"/>
      </w:r>
      <w:r>
        <w:rPr>
          <w:rFonts w:hint="eastAsia"/>
          <w:highlight w:val="none"/>
        </w:rPr>
        <w:t>二、绩效自评工作开展情况</w:t>
      </w:r>
      <w:r>
        <w:tab/>
      </w:r>
      <w:r>
        <w:fldChar w:fldCharType="begin"/>
      </w:r>
      <w:r>
        <w:instrText xml:space="preserve"> PAGEREF _Toc5039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_Toc10519 </w:instrText>
      </w:r>
      <w:r>
        <w:fldChar w:fldCharType="separate"/>
      </w:r>
      <w:r>
        <w:rPr>
          <w:rFonts w:hint="eastAsia"/>
        </w:rPr>
        <w:t>（一）绩效自评价目的和意义</w:t>
      </w:r>
      <w:r>
        <w:tab/>
      </w:r>
      <w:r>
        <w:fldChar w:fldCharType="begin"/>
      </w:r>
      <w:r>
        <w:instrText xml:space="preserve"> PAGEREF _Toc10519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_Toc23847 </w:instrText>
      </w:r>
      <w:r>
        <w:fldChar w:fldCharType="separate"/>
      </w:r>
      <w:r>
        <w:rPr>
          <w:rFonts w:hint="eastAsia"/>
        </w:rPr>
        <w:t>（二）绩效自评价对象和范围</w:t>
      </w:r>
      <w:r>
        <w:tab/>
      </w:r>
      <w:r>
        <w:fldChar w:fldCharType="begin"/>
      </w:r>
      <w:r>
        <w:instrText xml:space="preserve"> PAGEREF _Toc23847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_Toc30480 </w:instrText>
      </w:r>
      <w:r>
        <w:fldChar w:fldCharType="separate"/>
      </w:r>
      <w:r>
        <w:rPr>
          <w:rFonts w:hint="eastAsia"/>
        </w:rPr>
        <w:t>（三）绩效评价的依据</w:t>
      </w:r>
      <w:r>
        <w:tab/>
      </w:r>
      <w:r>
        <w:fldChar w:fldCharType="begin"/>
      </w:r>
      <w:r>
        <w:instrText xml:space="preserve"> PAGEREF _Toc30480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_Toc3645 </w:instrText>
      </w:r>
      <w:r>
        <w:fldChar w:fldCharType="separate"/>
      </w:r>
      <w:r>
        <w:rPr>
          <w:rFonts w:hint="eastAsia"/>
        </w:rPr>
        <w:t>（四）评分方法</w:t>
      </w:r>
      <w:r>
        <w:tab/>
      </w:r>
      <w:r>
        <w:fldChar w:fldCharType="begin"/>
      </w:r>
      <w:r>
        <w:instrText xml:space="preserve"> PAGEREF _Toc3645 \h </w:instrText>
      </w:r>
      <w:r>
        <w:fldChar w:fldCharType="separate"/>
      </w:r>
      <w:r>
        <w:t>3</w:t>
      </w:r>
      <w:r>
        <w:fldChar w:fldCharType="end"/>
      </w:r>
      <w:r>
        <w:fldChar w:fldCharType="end"/>
      </w:r>
    </w:p>
    <w:p>
      <w:pPr>
        <w:pStyle w:val="12"/>
        <w:tabs>
          <w:tab w:val="right" w:leader="dot" w:pos="8306"/>
        </w:tabs>
      </w:pPr>
      <w:r>
        <w:fldChar w:fldCharType="begin"/>
      </w:r>
      <w:r>
        <w:instrText xml:space="preserve"> HYPERLINK \l _Toc17518 </w:instrText>
      </w:r>
      <w:r>
        <w:fldChar w:fldCharType="separate"/>
      </w:r>
      <w:r>
        <w:rPr>
          <w:rFonts w:hint="eastAsia"/>
        </w:rPr>
        <w:t>（五）绩效自评工作组织</w:t>
      </w:r>
      <w:r>
        <w:tab/>
      </w:r>
      <w:r>
        <w:fldChar w:fldCharType="begin"/>
      </w:r>
      <w:r>
        <w:instrText xml:space="preserve"> PAGEREF _Toc17518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_Toc28512 </w:instrText>
      </w:r>
      <w:r>
        <w:fldChar w:fldCharType="separate"/>
      </w:r>
      <w:r>
        <w:rPr>
          <w:rFonts w:hint="eastAsia"/>
        </w:rPr>
        <w:t>三、绩效自评结果及分析</w:t>
      </w:r>
      <w:r>
        <w:tab/>
      </w:r>
      <w:r>
        <w:fldChar w:fldCharType="begin"/>
      </w:r>
      <w:r>
        <w:instrText xml:space="preserve"> PAGEREF _Toc28512 \h </w:instrText>
      </w:r>
      <w:r>
        <w:fldChar w:fldCharType="separate"/>
      </w:r>
      <w:r>
        <w:t>4</w:t>
      </w:r>
      <w:r>
        <w:fldChar w:fldCharType="end"/>
      </w:r>
      <w:r>
        <w:fldChar w:fldCharType="end"/>
      </w:r>
    </w:p>
    <w:p>
      <w:pPr>
        <w:pStyle w:val="12"/>
        <w:tabs>
          <w:tab w:val="right" w:leader="dot" w:pos="8306"/>
        </w:tabs>
      </w:pPr>
      <w:r>
        <w:fldChar w:fldCharType="begin"/>
      </w:r>
      <w:r>
        <w:instrText xml:space="preserve"> HYPERLINK \l _Toc1000 </w:instrText>
      </w:r>
      <w:r>
        <w:fldChar w:fldCharType="separate"/>
      </w:r>
      <w:r>
        <w:t>（一）绩效自评价结果</w:t>
      </w:r>
      <w:r>
        <w:tab/>
      </w:r>
      <w:r>
        <w:fldChar w:fldCharType="begin"/>
      </w:r>
      <w:r>
        <w:instrText xml:space="preserve"> PAGEREF _Toc1000 \h </w:instrText>
      </w:r>
      <w:r>
        <w:fldChar w:fldCharType="separate"/>
      </w:r>
      <w:r>
        <w:t>4</w:t>
      </w:r>
      <w:r>
        <w:fldChar w:fldCharType="end"/>
      </w:r>
      <w:r>
        <w:fldChar w:fldCharType="end"/>
      </w:r>
    </w:p>
    <w:p>
      <w:pPr>
        <w:pStyle w:val="12"/>
        <w:tabs>
          <w:tab w:val="right" w:leader="dot" w:pos="8306"/>
        </w:tabs>
      </w:pPr>
      <w:r>
        <w:fldChar w:fldCharType="begin"/>
      </w:r>
      <w:r>
        <w:instrText xml:space="preserve"> HYPERLINK \l _Toc19564 </w:instrText>
      </w:r>
      <w:r>
        <w:fldChar w:fldCharType="separate"/>
      </w:r>
      <w:r>
        <w:rPr>
          <w:rFonts w:hint="eastAsia"/>
        </w:rPr>
        <w:t>（二）自评指标分析</w:t>
      </w:r>
      <w:r>
        <w:tab/>
      </w:r>
      <w:r>
        <w:fldChar w:fldCharType="begin"/>
      </w:r>
      <w:r>
        <w:instrText xml:space="preserve"> PAGEREF _Toc19564 \h </w:instrText>
      </w:r>
      <w:r>
        <w:fldChar w:fldCharType="separate"/>
      </w:r>
      <w:r>
        <w:t>6</w:t>
      </w:r>
      <w:r>
        <w:fldChar w:fldCharType="end"/>
      </w:r>
      <w:r>
        <w:fldChar w:fldCharType="end"/>
      </w:r>
    </w:p>
    <w:p>
      <w:pPr>
        <w:pStyle w:val="11"/>
        <w:tabs>
          <w:tab w:val="right" w:leader="dot" w:pos="8306"/>
          <w:tab w:val="clear" w:pos="8296"/>
        </w:tabs>
      </w:pPr>
      <w:r>
        <w:fldChar w:fldCharType="begin"/>
      </w:r>
      <w:r>
        <w:instrText xml:space="preserve"> HYPERLINK \l _Toc19962 </w:instrText>
      </w:r>
      <w:r>
        <w:fldChar w:fldCharType="separate"/>
      </w:r>
      <w:r>
        <w:rPr>
          <w:rFonts w:hint="eastAsia"/>
        </w:rPr>
        <w:t>四、成果和问题</w:t>
      </w:r>
      <w:r>
        <w:tab/>
      </w:r>
      <w:r>
        <w:fldChar w:fldCharType="begin"/>
      </w:r>
      <w:r>
        <w:instrText xml:space="preserve"> PAGEREF _Toc19962 \h </w:instrText>
      </w:r>
      <w:r>
        <w:fldChar w:fldCharType="separate"/>
      </w:r>
      <w:r>
        <w:t>9</w:t>
      </w:r>
      <w:r>
        <w:fldChar w:fldCharType="end"/>
      </w:r>
      <w:r>
        <w:fldChar w:fldCharType="end"/>
      </w:r>
    </w:p>
    <w:p>
      <w:pPr>
        <w:pStyle w:val="12"/>
        <w:tabs>
          <w:tab w:val="right" w:leader="dot" w:pos="8306"/>
        </w:tabs>
      </w:pPr>
      <w:r>
        <w:fldChar w:fldCharType="begin"/>
      </w:r>
      <w:r>
        <w:instrText xml:space="preserve"> HYPERLINK \l _Toc12207 </w:instrText>
      </w:r>
      <w:r>
        <w:fldChar w:fldCharType="separate"/>
      </w:r>
      <w:r>
        <w:rPr>
          <w:rFonts w:hint="eastAsia"/>
          <w:highlight w:val="none"/>
        </w:rPr>
        <w:t>（一）项目实施的成果</w:t>
      </w:r>
      <w:r>
        <w:tab/>
      </w:r>
      <w:r>
        <w:fldChar w:fldCharType="begin"/>
      </w:r>
      <w:r>
        <w:instrText xml:space="preserve"> PAGEREF _Toc12207 \h </w:instrText>
      </w:r>
      <w:r>
        <w:fldChar w:fldCharType="separate"/>
      </w:r>
      <w:r>
        <w:t>9</w:t>
      </w:r>
      <w:r>
        <w:fldChar w:fldCharType="end"/>
      </w:r>
      <w:r>
        <w:fldChar w:fldCharType="end"/>
      </w:r>
    </w:p>
    <w:p>
      <w:pPr>
        <w:pStyle w:val="12"/>
        <w:tabs>
          <w:tab w:val="right" w:leader="dot" w:pos="8306"/>
        </w:tabs>
      </w:pPr>
      <w:r>
        <w:fldChar w:fldCharType="begin"/>
      </w:r>
      <w:r>
        <w:instrText xml:space="preserve"> HYPERLINK \l _Toc12380 </w:instrText>
      </w:r>
      <w:r>
        <w:fldChar w:fldCharType="separate"/>
      </w:r>
      <w:r>
        <w:rPr>
          <w:rFonts w:hint="eastAsia"/>
          <w:highlight w:val="none"/>
        </w:rPr>
        <w:t>（二）项目存在的问题</w:t>
      </w:r>
      <w:r>
        <w:tab/>
      </w:r>
      <w:r>
        <w:fldChar w:fldCharType="begin"/>
      </w:r>
      <w:r>
        <w:instrText xml:space="preserve"> PAGEREF _Toc12380 \h </w:instrText>
      </w:r>
      <w:r>
        <w:fldChar w:fldCharType="separate"/>
      </w:r>
      <w:r>
        <w:t>10</w:t>
      </w:r>
      <w:r>
        <w:fldChar w:fldCharType="end"/>
      </w:r>
      <w:r>
        <w:fldChar w:fldCharType="end"/>
      </w:r>
    </w:p>
    <w:p>
      <w:pPr>
        <w:pStyle w:val="11"/>
        <w:tabs>
          <w:tab w:val="right" w:leader="dot" w:pos="8306"/>
          <w:tab w:val="clear" w:pos="8296"/>
        </w:tabs>
      </w:pPr>
      <w:r>
        <w:fldChar w:fldCharType="begin"/>
      </w:r>
      <w:r>
        <w:instrText xml:space="preserve"> HYPERLINK \l _Toc29220 </w:instrText>
      </w:r>
      <w:r>
        <w:fldChar w:fldCharType="separate"/>
      </w:r>
      <w:r>
        <w:rPr>
          <w:rFonts w:hint="eastAsia"/>
          <w:highlight w:val="none"/>
        </w:rPr>
        <w:t>五、建议</w:t>
      </w:r>
      <w:r>
        <w:tab/>
      </w:r>
      <w:r>
        <w:fldChar w:fldCharType="begin"/>
      </w:r>
      <w:r>
        <w:instrText xml:space="preserve"> PAGEREF _Toc29220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_Toc468 </w:instrText>
      </w:r>
      <w:r>
        <w:fldChar w:fldCharType="separate"/>
      </w:r>
      <w:r>
        <w:rPr>
          <w:rFonts w:hint="eastAsia"/>
          <w:highlight w:val="none"/>
        </w:rPr>
        <w:t>（一）强化预算绩效管理意识，提升项目产出效益</w:t>
      </w:r>
      <w:r>
        <w:tab/>
      </w:r>
      <w:r>
        <w:fldChar w:fldCharType="begin"/>
      </w:r>
      <w:r>
        <w:instrText xml:space="preserve"> PAGEREF _Toc468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_Toc12892 </w:instrText>
      </w:r>
      <w:r>
        <w:fldChar w:fldCharType="separate"/>
      </w:r>
      <w:r>
        <w:rPr>
          <w:rFonts w:hint="eastAsia"/>
          <w:highlight w:val="none"/>
        </w:rPr>
        <w:t>（二）加强学习培训，进一步提高绩效管理水平</w:t>
      </w:r>
      <w:r>
        <w:tab/>
      </w:r>
      <w:r>
        <w:fldChar w:fldCharType="begin"/>
      </w:r>
      <w:r>
        <w:instrText xml:space="preserve"> PAGEREF _Toc12892 \h </w:instrText>
      </w:r>
      <w:r>
        <w:fldChar w:fldCharType="separate"/>
      </w:r>
      <w:r>
        <w:t>10</w:t>
      </w:r>
      <w:r>
        <w:fldChar w:fldCharType="end"/>
      </w:r>
      <w:r>
        <w:fldChar w:fldCharType="end"/>
      </w:r>
    </w:p>
    <w:p>
      <w:pPr>
        <w:pStyle w:val="11"/>
        <w:tabs>
          <w:tab w:val="right" w:leader="dot" w:pos="8306"/>
          <w:tab w:val="clear" w:pos="8296"/>
        </w:tabs>
      </w:pPr>
      <w:r>
        <w:fldChar w:fldCharType="begin"/>
      </w:r>
      <w:r>
        <w:instrText xml:space="preserve"> HYPERLINK \l _Toc9708 </w:instrText>
      </w:r>
      <w:r>
        <w:fldChar w:fldCharType="separate"/>
      </w:r>
      <w:r>
        <w:rPr>
          <w:rFonts w:hint="eastAsia"/>
          <w:highlight w:val="none"/>
        </w:rPr>
        <w:t>六、其他需要说明的问题</w:t>
      </w:r>
      <w:r>
        <w:tab/>
      </w:r>
      <w:r>
        <w:fldChar w:fldCharType="begin"/>
      </w:r>
      <w:r>
        <w:instrText xml:space="preserve"> PAGEREF _Toc9708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_Toc4085 </w:instrText>
      </w:r>
      <w:r>
        <w:fldChar w:fldCharType="separate"/>
      </w:r>
      <w:r>
        <w:rPr>
          <w:rFonts w:hint="eastAsia"/>
          <w:highlight w:val="none"/>
        </w:rPr>
        <w:t>七、附件</w:t>
      </w:r>
      <w:r>
        <w:tab/>
      </w:r>
      <w:r>
        <w:fldChar w:fldCharType="begin"/>
      </w:r>
      <w:r>
        <w:instrText xml:space="preserve"> PAGEREF _Toc4085 \h </w:instrText>
      </w:r>
      <w:r>
        <w:fldChar w:fldCharType="separate"/>
      </w:r>
      <w:r>
        <w:t>11</w:t>
      </w:r>
      <w:r>
        <w:fldChar w:fldCharType="end"/>
      </w:r>
      <w:r>
        <w:fldChar w:fldCharType="end"/>
      </w:r>
    </w:p>
    <w:p>
      <w:pPr>
        <w:ind w:firstLine="640"/>
        <w:sectPr>
          <w:footerReference r:id="rId5" w:type="default"/>
          <w:pgSz w:w="11906" w:h="16838"/>
          <w:pgMar w:top="1440" w:right="1800" w:bottom="1440" w:left="1800" w:header="851" w:footer="737" w:gutter="0"/>
          <w:pgNumType w:fmt="upperRoman" w:start="1"/>
          <w:cols w:space="425" w:num="1"/>
          <w:docGrid w:type="lines" w:linePitch="312" w:charSpace="0"/>
        </w:sectPr>
      </w:pPr>
      <w:r>
        <w:fldChar w:fldCharType="end"/>
      </w:r>
    </w:p>
    <w:p>
      <w:pPr>
        <w:pStyle w:val="3"/>
      </w:pPr>
      <w:bookmarkStart w:id="1" w:name="_Toc17887"/>
      <w:bookmarkStart w:id="2" w:name="_Toc79333430"/>
      <w:r>
        <w:rPr>
          <w:rFonts w:hint="eastAsia"/>
        </w:rPr>
        <w:t>一、项目基本情况</w:t>
      </w:r>
      <w:bookmarkEnd w:id="0"/>
      <w:bookmarkEnd w:id="1"/>
      <w:bookmarkEnd w:id="2"/>
    </w:p>
    <w:p>
      <w:pPr>
        <w:pStyle w:val="4"/>
      </w:pPr>
      <w:bookmarkStart w:id="3" w:name="_Toc28598"/>
      <w:bookmarkStart w:id="4" w:name="_Toc79333431"/>
      <w:bookmarkStart w:id="5" w:name="_Toc8110"/>
      <w:r>
        <w:rPr>
          <w:rFonts w:hint="eastAsia"/>
        </w:rPr>
        <w:t>（一）项目基本信息</w:t>
      </w:r>
      <w:bookmarkEnd w:id="3"/>
      <w:bookmarkEnd w:id="4"/>
      <w:bookmarkEnd w:id="5"/>
    </w:p>
    <w:p>
      <w:pPr>
        <w:pStyle w:val="5"/>
        <w:ind w:firstLine="643"/>
        <w:rPr>
          <w:rFonts w:hint="eastAsia" w:eastAsia="仿宋"/>
          <w:highlight w:val="none"/>
          <w:lang w:val="en-US" w:eastAsia="zh-CN"/>
        </w:rPr>
      </w:pPr>
      <w:bookmarkStart w:id="6" w:name="_Toc79333432"/>
      <w:r>
        <w:rPr>
          <w:rFonts w:hint="eastAsia"/>
          <w:highlight w:val="none"/>
        </w:rPr>
        <w:t>1、项目背景</w:t>
      </w:r>
      <w:bookmarkEnd w:id="6"/>
    </w:p>
    <w:p>
      <w:pPr>
        <w:ind w:firstLine="640"/>
        <w:rPr>
          <w:rFonts w:hint="eastAsia"/>
          <w:color w:val="auto"/>
          <w:highlight w:val="none"/>
        </w:rPr>
      </w:pPr>
      <w:bookmarkStart w:id="7" w:name="_Toc14372"/>
      <w:r>
        <w:rPr>
          <w:rFonts w:hint="eastAsia"/>
          <w:color w:val="auto"/>
          <w:highlight w:val="none"/>
        </w:rPr>
        <w:t>庆祝中国共产党成立100周年，广泛组织新的社会阶层人士认真学习贯彻党的理论和路线方针政策，深入开展党史学习教育活动，大力唱响共产党好、社会主义好、改革开放好、伟大祖国好、各族人民好的时代主旋律。</w:t>
      </w:r>
    </w:p>
    <w:p>
      <w:pPr>
        <w:ind w:firstLine="640"/>
        <w:rPr>
          <w:rFonts w:hint="eastAsia"/>
          <w:color w:val="auto"/>
          <w:highlight w:val="none"/>
        </w:rPr>
      </w:pPr>
      <w:r>
        <w:rPr>
          <w:rFonts w:hint="eastAsia"/>
          <w:color w:val="auto"/>
          <w:highlight w:val="none"/>
        </w:rPr>
        <w:t>积极引导新的社会阶层人士不断增进政治认同、思想认同、理论认同、情感认同，进一步增强“四个意思”，坚定“四个自信”做到“两个维护”，更加紧密的团结在以习近平为核心的党中央周围，奋力谱写新时代中原更加出彩绚丽篇章。</w:t>
      </w:r>
    </w:p>
    <w:p>
      <w:pPr>
        <w:pStyle w:val="5"/>
        <w:ind w:firstLine="643"/>
        <w:rPr>
          <w:rFonts w:hint="eastAsia"/>
          <w:highlight w:val="none"/>
        </w:rPr>
      </w:pPr>
      <w:r>
        <w:rPr>
          <w:rFonts w:hint="eastAsia"/>
          <w:highlight w:val="none"/>
          <w:lang w:val="en-US" w:eastAsia="zh-CN"/>
        </w:rPr>
        <w:t>2、</w:t>
      </w:r>
      <w:r>
        <w:rPr>
          <w:rFonts w:hint="eastAsia"/>
          <w:highlight w:val="none"/>
        </w:rPr>
        <w:t>项目实施内容</w:t>
      </w:r>
    </w:p>
    <w:p>
      <w:pPr>
        <w:ind w:firstLine="640"/>
        <w:rPr>
          <w:rFonts w:hint="default" w:eastAsia="仿宋"/>
          <w:color w:val="auto"/>
          <w:highlight w:val="none"/>
          <w:lang w:val="en-US" w:eastAsia="zh-CN"/>
        </w:rPr>
      </w:pPr>
      <w:r>
        <w:rPr>
          <w:rFonts w:hint="eastAsia"/>
          <w:color w:val="auto"/>
          <w:highlight w:val="none"/>
          <w:lang w:val="en-US" w:eastAsia="zh-CN"/>
        </w:rPr>
        <w:t>为</w:t>
      </w:r>
      <w:r>
        <w:rPr>
          <w:rFonts w:hint="eastAsia"/>
          <w:color w:val="auto"/>
          <w:highlight w:val="none"/>
        </w:rPr>
        <w:t>庆祝中国共产党成立100周年，广泛组织新的社会阶层人士认真学习贯彻党的理论和路线方针政策，深入开展党史学习教育活动，</w:t>
      </w:r>
      <w:r>
        <w:rPr>
          <w:rFonts w:hint="eastAsia"/>
          <w:color w:val="auto"/>
          <w:highlight w:val="none"/>
          <w:lang w:val="en-US" w:eastAsia="zh-CN"/>
        </w:rPr>
        <w:t>组织开展建党100周年主题教育活动4场，民主党派新成员培训1场，均已完成。</w:t>
      </w:r>
    </w:p>
    <w:p>
      <w:pPr>
        <w:pStyle w:val="4"/>
      </w:pPr>
      <w:bookmarkStart w:id="8" w:name="_Toc79333434"/>
      <w:bookmarkStart w:id="9" w:name="_Toc26737"/>
      <w:r>
        <w:rPr>
          <w:rFonts w:hint="eastAsia"/>
        </w:rPr>
        <w:t>（二）项目支出情况</w:t>
      </w:r>
      <w:bookmarkEnd w:id="7"/>
      <w:bookmarkEnd w:id="8"/>
      <w:bookmarkEnd w:id="9"/>
    </w:p>
    <w:p>
      <w:pPr>
        <w:pStyle w:val="5"/>
        <w:ind w:firstLine="643"/>
        <w:rPr>
          <w:highlight w:val="none"/>
        </w:rPr>
      </w:pPr>
      <w:bookmarkStart w:id="10" w:name="_Toc28118"/>
      <w:bookmarkStart w:id="11" w:name="_Toc79333435"/>
      <w:r>
        <w:rPr>
          <w:rFonts w:hint="eastAsia"/>
          <w:highlight w:val="none"/>
        </w:rPr>
        <w:t>1、项目预算情况</w:t>
      </w:r>
      <w:bookmarkEnd w:id="10"/>
      <w:bookmarkEnd w:id="11"/>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12</w:t>
      </w:r>
      <w:r>
        <w:rPr>
          <w:rFonts w:hint="eastAsia"/>
          <w:highlight w:val="none"/>
        </w:rPr>
        <w:t>万元，当年实际执行</w:t>
      </w:r>
      <w:r>
        <w:rPr>
          <w:rFonts w:hint="eastAsia"/>
          <w:highlight w:val="none"/>
          <w:lang w:val="en-US" w:eastAsia="zh-CN"/>
        </w:rPr>
        <w:t>11.52</w:t>
      </w:r>
      <w:r>
        <w:rPr>
          <w:rFonts w:hint="eastAsia"/>
          <w:highlight w:val="none"/>
        </w:rPr>
        <w:t>万元。</w:t>
      </w:r>
    </w:p>
    <w:p>
      <w:pPr>
        <w:pStyle w:val="5"/>
        <w:ind w:firstLine="643"/>
        <w:rPr>
          <w:highlight w:val="none"/>
        </w:rPr>
      </w:pPr>
      <w:bookmarkStart w:id="12" w:name="_Toc18098"/>
      <w:bookmarkStart w:id="13" w:name="_Toc79333436"/>
      <w:r>
        <w:rPr>
          <w:rFonts w:hint="eastAsia"/>
          <w:highlight w:val="none"/>
        </w:rPr>
        <w:t>2、项目预算执行情况</w:t>
      </w:r>
      <w:bookmarkEnd w:id="12"/>
      <w:bookmarkEnd w:id="13"/>
    </w:p>
    <w:p>
      <w:pPr>
        <w:ind w:firstLine="640"/>
        <w:jc w:val="left"/>
        <w:rPr>
          <w:highlight w:val="none"/>
        </w:rPr>
      </w:pPr>
      <w:r>
        <w:rPr>
          <w:rFonts w:hint="eastAsia"/>
          <w:highlight w:val="none"/>
        </w:rPr>
        <w:t>项目</w:t>
      </w:r>
      <w:r>
        <w:rPr>
          <w:rFonts w:hint="eastAsia"/>
          <w:highlight w:val="none"/>
          <w:lang w:val="en-US" w:eastAsia="zh-CN"/>
        </w:rPr>
        <w:t>全年预算财政资金为11.52万元，</w:t>
      </w:r>
      <w:r>
        <w:rPr>
          <w:rFonts w:hint="eastAsia"/>
          <w:highlight w:val="none"/>
        </w:rPr>
        <w:t>实际支出</w:t>
      </w:r>
      <w:r>
        <w:rPr>
          <w:rFonts w:hint="eastAsia"/>
          <w:highlight w:val="none"/>
          <w:lang w:val="en-US" w:eastAsia="zh-CN"/>
        </w:rPr>
        <w:t>11.52</w:t>
      </w:r>
      <w:r>
        <w:rPr>
          <w:rFonts w:hint="eastAsia"/>
          <w:highlight w:val="none"/>
        </w:rPr>
        <w:t>万元</w:t>
      </w:r>
      <w:r>
        <w:rPr>
          <w:rFonts w:hint="eastAsia"/>
          <w:highlight w:val="none"/>
          <w:lang w:eastAsia="zh-CN"/>
        </w:rPr>
        <w:t>，</w:t>
      </w:r>
      <w:r>
        <w:rPr>
          <w:rFonts w:hint="eastAsia"/>
          <w:highlight w:val="none"/>
          <w:lang w:val="en-US" w:eastAsia="zh-CN"/>
        </w:rPr>
        <w:t>执行率100%</w:t>
      </w:r>
      <w:r>
        <w:rPr>
          <w:rFonts w:hint="eastAsia"/>
          <w:highlight w:val="none"/>
        </w:rPr>
        <w:t>。</w:t>
      </w:r>
    </w:p>
    <w:p>
      <w:pPr>
        <w:pStyle w:val="3"/>
        <w:rPr>
          <w:highlight w:val="none"/>
        </w:rPr>
      </w:pPr>
      <w:bookmarkStart w:id="14" w:name="_Toc79333437"/>
      <w:bookmarkStart w:id="15" w:name="_Toc10420"/>
      <w:bookmarkStart w:id="16" w:name="_Toc75871361"/>
      <w:bookmarkStart w:id="17" w:name="_Toc5039"/>
      <w:r>
        <w:rPr>
          <w:rFonts w:hint="eastAsia"/>
          <w:highlight w:val="none"/>
        </w:rPr>
        <w:t>二、绩效自评工作开展情况</w:t>
      </w:r>
      <w:bookmarkEnd w:id="14"/>
      <w:bookmarkEnd w:id="15"/>
      <w:bookmarkEnd w:id="16"/>
      <w:bookmarkEnd w:id="17"/>
    </w:p>
    <w:p>
      <w:pPr>
        <w:pStyle w:val="4"/>
      </w:pPr>
      <w:bookmarkStart w:id="18" w:name="_Toc79333438"/>
      <w:bookmarkStart w:id="19" w:name="_Toc75871362"/>
      <w:bookmarkStart w:id="20" w:name="_Toc10519"/>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4"/>
      </w:pPr>
      <w:bookmarkStart w:id="21" w:name="_Toc79333439"/>
      <w:bookmarkStart w:id="22" w:name="_Toc75871363"/>
      <w:bookmarkStart w:id="23" w:name="_Toc3060"/>
      <w:bookmarkStart w:id="24" w:name="_Toc23847"/>
      <w:r>
        <w:rPr>
          <w:rFonts w:hint="eastAsia"/>
        </w:rPr>
        <w:t>（二）绩效自评价对象和范围</w:t>
      </w:r>
      <w:bookmarkEnd w:id="21"/>
      <w:bookmarkEnd w:id="22"/>
      <w:bookmarkEnd w:id="23"/>
      <w:bookmarkEnd w:id="24"/>
    </w:p>
    <w:p>
      <w:pPr>
        <w:ind w:firstLine="640"/>
        <w:rPr>
          <w:highlight w:val="none"/>
        </w:rPr>
      </w:pPr>
      <w:r>
        <w:rPr>
          <w:rFonts w:hint="eastAsia"/>
          <w:highlight w:val="none"/>
        </w:rPr>
        <w:t>本次绩效自评价对象为2</w:t>
      </w:r>
      <w:r>
        <w:rPr>
          <w:highlight w:val="none"/>
        </w:rPr>
        <w:t>02</w:t>
      </w:r>
      <w:r>
        <w:rPr>
          <w:rFonts w:hint="eastAsia"/>
          <w:highlight w:val="none"/>
        </w:rPr>
        <w:t>1年党外人士调研、培训、联谊经费项目专项资金，评价范围为涉及该项目管理及其预算资金</w:t>
      </w:r>
      <w:r>
        <w:rPr>
          <w:rFonts w:hint="eastAsia"/>
          <w:highlight w:val="none"/>
          <w:lang w:val="en-US" w:eastAsia="zh-CN"/>
        </w:rPr>
        <w:t>11.52</w:t>
      </w:r>
      <w:r>
        <w:rPr>
          <w:rFonts w:hint="eastAsia"/>
          <w:highlight w:val="none"/>
        </w:rPr>
        <w:t>万元的使用情况。</w:t>
      </w:r>
    </w:p>
    <w:p>
      <w:pPr>
        <w:pStyle w:val="4"/>
      </w:pPr>
      <w:bookmarkStart w:id="25" w:name="_Toc8160"/>
      <w:bookmarkStart w:id="26" w:name="_Toc79333440"/>
      <w:bookmarkStart w:id="27" w:name="_Toc75871364"/>
      <w:bookmarkStart w:id="28" w:name="_Toc30480"/>
      <w:r>
        <w:rPr>
          <w:rFonts w:hint="eastAsia"/>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numPr>
          <w:ilvl w:val="0"/>
          <w:numId w:val="1"/>
        </w:numPr>
        <w:ind w:firstLine="640"/>
      </w:pPr>
      <w:r>
        <w:rPr>
          <w:rFonts w:hint="eastAsia"/>
          <w:lang w:val="en-US" w:eastAsia="zh-CN"/>
        </w:rPr>
        <w:t>《</w:t>
      </w:r>
      <w:r>
        <w:rPr>
          <w:rFonts w:hint="default"/>
          <w:lang w:val="zh-CN" w:eastAsia="zh-CN"/>
        </w:rPr>
        <w:t>三门峡市财政局关于开展2021年度市级预算绩效自评工作的通知</w:t>
      </w:r>
      <w:r>
        <w:rPr>
          <w:rFonts w:hint="eastAsia"/>
          <w:lang w:val="en-US" w:eastAsia="zh-CN"/>
        </w:rPr>
        <w:t>》（</w:t>
      </w:r>
      <w:r>
        <w:rPr>
          <w:rFonts w:hint="default"/>
          <w:lang w:val="zh-CN" w:eastAsia="zh-CN"/>
        </w:rPr>
        <w:t>三财效</w:t>
      </w:r>
      <w:r>
        <w:rPr>
          <w:rFonts w:hint="eastAsia"/>
          <w:lang w:val="en-US" w:eastAsia="zh-CN"/>
        </w:rPr>
        <w:t>〔</w:t>
      </w:r>
      <w:r>
        <w:rPr>
          <w:rFonts w:hint="default"/>
          <w:lang w:val="zh-CN" w:eastAsia="zh-CN"/>
        </w:rPr>
        <w:t>2022</w:t>
      </w:r>
      <w:r>
        <w:rPr>
          <w:rFonts w:hint="eastAsia"/>
          <w:lang w:val="en-US" w:eastAsia="zh-CN"/>
        </w:rPr>
        <w:t>〕</w:t>
      </w:r>
      <w:r>
        <w:rPr>
          <w:rFonts w:hint="default"/>
          <w:lang w:val="zh-CN" w:eastAsia="zh-CN"/>
        </w:rPr>
        <w:t>3号</w:t>
      </w:r>
      <w:r>
        <w:rPr>
          <w:rFonts w:hint="eastAsia"/>
          <w:lang w:val="en-US" w:eastAsia="zh-CN"/>
        </w:rPr>
        <w:t>）；</w:t>
      </w:r>
    </w:p>
    <w:p>
      <w:pPr>
        <w:numPr>
          <w:ilvl w:val="0"/>
          <w:numId w:val="1"/>
        </w:numPr>
        <w:ind w:firstLine="640"/>
      </w:pPr>
      <w:r>
        <w:rPr>
          <w:rFonts w:hint="eastAsia"/>
        </w:rPr>
        <w:t>与本次自评相关的其他资料。</w:t>
      </w:r>
    </w:p>
    <w:p>
      <w:pPr>
        <w:pStyle w:val="4"/>
      </w:pPr>
      <w:bookmarkStart w:id="29" w:name="_Toc75871365"/>
      <w:bookmarkStart w:id="30" w:name="_Toc13521"/>
      <w:bookmarkStart w:id="31" w:name="_Toc79333441"/>
      <w:bookmarkStart w:id="32" w:name="_Toc3645"/>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4"/>
      </w:pPr>
      <w:bookmarkStart w:id="34" w:name="_Toc17518"/>
      <w:bookmarkStart w:id="35" w:name="_Toc75871366"/>
      <w:bookmarkStart w:id="36" w:name="_Toc79333442"/>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3"/>
      </w:pPr>
      <w:bookmarkStart w:id="37" w:name="_Toc79333443"/>
      <w:bookmarkStart w:id="38" w:name="_Toc28512"/>
      <w:r>
        <w:rPr>
          <w:rFonts w:hint="eastAsia"/>
        </w:rPr>
        <w:t>三、绩效自评结果及分析</w:t>
      </w:r>
      <w:bookmarkEnd w:id="37"/>
      <w:bookmarkEnd w:id="38"/>
    </w:p>
    <w:p>
      <w:pPr>
        <w:pStyle w:val="4"/>
      </w:pPr>
      <w:bookmarkStart w:id="39" w:name="_Toc1000"/>
      <w:bookmarkStart w:id="40" w:name="_Toc79333444"/>
      <w:bookmarkStart w:id="41" w:name="_Toc4028"/>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pPr>
      <w:r>
        <w:rPr>
          <w:rFonts w:hint="eastAsia"/>
        </w:rPr>
        <w:t>我单位通过对本项目调查研究、座谈、查阅相关资料，根据相关政策要求进行打分，最终项目自评</w:t>
      </w:r>
      <w:r>
        <w:rPr>
          <w:rFonts w:hint="eastAsia"/>
          <w:highlight w:val="none"/>
        </w:rPr>
        <w:t>价得分为</w:t>
      </w:r>
      <w:r>
        <w:rPr>
          <w:rFonts w:hint="eastAsia"/>
          <w:highlight w:val="none"/>
          <w:lang w:val="en-US" w:eastAsia="zh-CN"/>
        </w:rPr>
        <w:t>100</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t>3</w:t>
      </w:r>
      <w:r>
        <w:rPr>
          <w:rFonts w:hint="eastAsia"/>
        </w:rPr>
        <w:t>.1所示</w:t>
      </w:r>
    </w:p>
    <w:p>
      <w:pPr>
        <w:pStyle w:val="19"/>
        <w:ind w:firstLine="643"/>
      </w:pPr>
      <w:r>
        <w:rPr>
          <w:rFonts w:hint="eastAsia"/>
        </w:rPr>
        <w:t>表3.1 绩效自评价得分表</w:t>
      </w:r>
    </w:p>
    <w:tbl>
      <w:tblPr>
        <w:tblStyle w:val="13"/>
        <w:tblW w:w="4954" w:type="pct"/>
        <w:jc w:val="center"/>
        <w:tblLayout w:type="fixed"/>
        <w:tblCellMar>
          <w:top w:w="0" w:type="dxa"/>
          <w:left w:w="108" w:type="dxa"/>
          <w:bottom w:w="0" w:type="dxa"/>
          <w:right w:w="108" w:type="dxa"/>
        </w:tblCellMar>
      </w:tblPr>
      <w:tblGrid>
        <w:gridCol w:w="1305"/>
        <w:gridCol w:w="1603"/>
        <w:gridCol w:w="2914"/>
        <w:gridCol w:w="1249"/>
        <w:gridCol w:w="1373"/>
      </w:tblGrid>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7"/>
            </w:pPr>
            <w:r>
              <w:rPr>
                <w:rFonts w:hint="eastAsia"/>
              </w:rPr>
              <w:t>一级指标</w:t>
            </w:r>
          </w:p>
        </w:tc>
        <w:tc>
          <w:tcPr>
            <w:tcW w:w="94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pPr>
            <w:r>
              <w:rPr>
                <w:rFonts w:hint="eastAsia"/>
              </w:rPr>
              <w:t>二级指标</w:t>
            </w:r>
          </w:p>
        </w:tc>
        <w:tc>
          <w:tcPr>
            <w:tcW w:w="1725"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pPr>
            <w:r>
              <w:rPr>
                <w:rFonts w:hint="eastAsia"/>
              </w:rPr>
              <w:t>三级指标</w:t>
            </w:r>
          </w:p>
        </w:tc>
        <w:tc>
          <w:tcPr>
            <w:tcW w:w="73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pPr>
            <w:r>
              <w:rPr>
                <w:rFonts w:hint="eastAsia"/>
              </w:rPr>
              <w:t>标准分值</w:t>
            </w:r>
          </w:p>
        </w:tc>
        <w:tc>
          <w:tcPr>
            <w:tcW w:w="813"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pPr>
            <w:r>
              <w:rPr>
                <w:rFonts w:hint="eastAsia"/>
              </w:rPr>
              <w:t>实际得分</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pPr>
            <w:r>
              <w:rPr>
                <w:rFonts w:hint="eastAsia"/>
              </w:rPr>
              <w:t>预算执行</w:t>
            </w:r>
          </w:p>
        </w:tc>
        <w:tc>
          <w:tcPr>
            <w:tcW w:w="949" w:type="pct"/>
            <w:tcBorders>
              <w:top w:val="single" w:color="auto" w:sz="4" w:space="0"/>
              <w:left w:val="nil"/>
              <w:bottom w:val="single" w:color="auto" w:sz="4" w:space="0"/>
              <w:right w:val="single" w:color="auto" w:sz="4" w:space="0"/>
            </w:tcBorders>
            <w:shd w:val="clear" w:color="auto" w:fill="auto"/>
            <w:vAlign w:val="center"/>
          </w:tcPr>
          <w:p>
            <w:pPr>
              <w:pStyle w:val="17"/>
            </w:pPr>
            <w:r>
              <w:rPr>
                <w:rFonts w:hint="eastAsia"/>
              </w:rPr>
              <w:t>预算执行率</w:t>
            </w:r>
          </w:p>
        </w:tc>
        <w:tc>
          <w:tcPr>
            <w:tcW w:w="1725" w:type="pct"/>
            <w:tcBorders>
              <w:top w:val="single" w:color="auto" w:sz="4" w:space="0"/>
              <w:left w:val="nil"/>
              <w:bottom w:val="single" w:color="auto" w:sz="4" w:space="0"/>
              <w:right w:val="single" w:color="auto" w:sz="4" w:space="0"/>
            </w:tcBorders>
            <w:shd w:val="clear" w:color="auto" w:fill="auto"/>
            <w:vAlign w:val="center"/>
          </w:tcPr>
          <w:p>
            <w:pPr>
              <w:pStyle w:val="17"/>
            </w:pPr>
            <w:r>
              <w:rPr>
                <w:rFonts w:hint="eastAsia"/>
              </w:rPr>
              <w:t>预算执行率</w:t>
            </w:r>
          </w:p>
        </w:tc>
        <w:tc>
          <w:tcPr>
            <w:tcW w:w="739" w:type="pct"/>
            <w:tcBorders>
              <w:top w:val="single" w:color="auto" w:sz="4" w:space="0"/>
              <w:left w:val="nil"/>
              <w:bottom w:val="single" w:color="auto" w:sz="4" w:space="0"/>
              <w:right w:val="single" w:color="auto" w:sz="4" w:space="0"/>
            </w:tcBorders>
            <w:shd w:val="clear" w:color="auto" w:fill="auto"/>
            <w:vAlign w:val="center"/>
          </w:tcPr>
          <w:p>
            <w:pPr>
              <w:pStyle w:val="17"/>
              <w:rPr>
                <w:rFonts w:hint="default" w:eastAsia="仿宋"/>
                <w:lang w:val="en-US" w:eastAsia="zh-CN"/>
              </w:rPr>
            </w:pPr>
            <w:r>
              <w:rPr>
                <w:rFonts w:hint="eastAsia"/>
                <w:lang w:val="en-US" w:eastAsia="zh-CN"/>
              </w:rPr>
              <w:t>10</w:t>
            </w:r>
          </w:p>
        </w:tc>
        <w:tc>
          <w:tcPr>
            <w:tcW w:w="1373" w:type="dxa"/>
            <w:tcBorders>
              <w:top w:val="single" w:color="auto" w:sz="4" w:space="0"/>
              <w:left w:val="nil"/>
              <w:bottom w:val="single" w:color="auto" w:sz="4" w:space="0"/>
              <w:right w:val="single" w:color="auto" w:sz="4" w:space="0"/>
            </w:tcBorders>
            <w:shd w:val="clear" w:color="auto" w:fill="auto"/>
            <w:vAlign w:val="center"/>
          </w:tcPr>
          <w:p>
            <w:pPr>
              <w:pStyle w:val="17"/>
              <w:ind w:firstLine="0" w:firstLineChars="0"/>
              <w:rPr>
                <w:rFonts w:hint="default" w:eastAsia="仿宋"/>
                <w:lang w:val="en-US" w:eastAsia="zh-CN"/>
              </w:rPr>
            </w:pPr>
            <w:r>
              <w:rPr>
                <w:rFonts w:hint="eastAsia"/>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restart"/>
            <w:tcBorders>
              <w:top w:val="single" w:color="auto" w:sz="4" w:space="0"/>
              <w:left w:val="single" w:color="auto" w:sz="4" w:space="0"/>
              <w:bottom w:val="single" w:color="auto" w:sz="4" w:space="0"/>
              <w:right w:val="single" w:color="auto" w:sz="4" w:space="0"/>
            </w:tcBorders>
            <w:vAlign w:val="center"/>
          </w:tcPr>
          <w:p>
            <w:pPr>
              <w:pStyle w:val="17"/>
              <w:rPr>
                <w:rFonts w:hint="eastAsia" w:eastAsia="仿宋"/>
                <w:lang w:val="en-US" w:eastAsia="zh-CN"/>
              </w:rPr>
            </w:pPr>
            <w:r>
              <w:rPr>
                <w:rFonts w:hint="eastAsia"/>
                <w:lang w:val="en-US" w:eastAsia="zh-CN"/>
              </w:rPr>
              <w:t>产出指标</w:t>
            </w:r>
          </w:p>
        </w:tc>
        <w:tc>
          <w:tcPr>
            <w:tcW w:w="949" w:type="pct"/>
            <w:vMerge w:val="restart"/>
            <w:tcBorders>
              <w:top w:val="single" w:color="auto" w:sz="4" w:space="0"/>
              <w:left w:val="single" w:color="auto" w:sz="4" w:space="0"/>
              <w:right w:val="single" w:color="auto" w:sz="4" w:space="0"/>
            </w:tcBorders>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heme="minorBidi"/>
                <w:kern w:val="2"/>
                <w:sz w:val="24"/>
                <w:szCs w:val="24"/>
                <w:lang w:val="en-US" w:eastAsia="zh-CN" w:bidi="ar-SA"/>
              </w:rPr>
            </w:pPr>
            <w:r>
              <w:rPr>
                <w:rFonts w:hint="eastAsia" w:ascii="Times New Roman" w:hAnsi="Times New Roman" w:cstheme="minorBidi"/>
                <w:kern w:val="2"/>
                <w:sz w:val="24"/>
                <w:szCs w:val="24"/>
                <w:lang w:val="en-US" w:eastAsia="zh-CN" w:bidi="ar-SA"/>
              </w:rPr>
              <w:t>数量指标</w:t>
            </w:r>
          </w:p>
        </w:tc>
        <w:tc>
          <w:tcPr>
            <w:tcW w:w="1725"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rPr>
            </w:pPr>
            <w:r>
              <w:rPr>
                <w:rFonts w:hint="eastAsia" w:ascii="Times New Roman" w:hAnsi="Times New Roman"/>
              </w:rPr>
              <w:t>建党100周年主题教育活动场次</w:t>
            </w:r>
          </w:p>
        </w:tc>
        <w:tc>
          <w:tcPr>
            <w:tcW w:w="739"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default" w:eastAsia="仿宋"/>
                <w:highlight w:val="none"/>
                <w:lang w:val="en-US" w:eastAsia="zh-CN"/>
              </w:rPr>
            </w:pPr>
            <w:r>
              <w:rPr>
                <w:rFonts w:hint="default" w:eastAsia="仿宋"/>
                <w:highlight w:val="none"/>
                <w:lang w:val="en-US" w:eastAsia="zh-CN"/>
              </w:rPr>
              <w:t>10</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default" w:eastAsia="仿宋"/>
                <w:highlight w:val="none"/>
                <w:lang w:val="en-US" w:eastAsia="zh-CN"/>
              </w:rPr>
            </w:pPr>
            <w:r>
              <w:rPr>
                <w:rFonts w:hint="default" w:eastAsia="仿宋"/>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eastAsia="仿宋"/>
                <w:lang w:val="en-US" w:eastAsia="zh-CN"/>
              </w:rPr>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lang w:val="en-US" w:eastAsia="zh-CN" w:bidi="ar-SA"/>
              </w:rPr>
            </w:pP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highlight w:val="none"/>
              </w:rPr>
            </w:pPr>
            <w:r>
              <w:rPr>
                <w:rFonts w:hint="eastAsia"/>
                <w:highlight w:val="none"/>
              </w:rPr>
              <w:t>民主党派新成员培训</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default" w:eastAsia="仿宋"/>
                <w:highlight w:val="none"/>
                <w:lang w:val="en-US" w:eastAsia="zh-CN"/>
              </w:rPr>
            </w:pPr>
            <w:r>
              <w:rPr>
                <w:rFonts w:hint="default" w:eastAsia="仿宋"/>
                <w:highlight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default" w:eastAsia="仿宋"/>
                <w:highlight w:val="none"/>
                <w:lang w:val="en-US" w:eastAsia="zh-CN"/>
              </w:rPr>
            </w:pPr>
            <w:r>
              <w:rPr>
                <w:rFonts w:hint="default" w:eastAsia="仿宋"/>
                <w:highlight w:val="none"/>
                <w:lang w:val="en-US" w:eastAsia="zh-CN"/>
              </w:rPr>
              <w:t>10</w:t>
            </w:r>
          </w:p>
        </w:tc>
      </w:tr>
      <w:tr>
        <w:tblPrEx>
          <w:tblCellMar>
            <w:top w:w="0" w:type="dxa"/>
            <w:left w:w="108" w:type="dxa"/>
            <w:bottom w:w="0" w:type="dxa"/>
            <w:right w:w="108" w:type="dxa"/>
          </w:tblCellMar>
        </w:tblPrEx>
        <w:trPr>
          <w:trHeight w:val="602"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heme="minorBidi"/>
                <w:kern w:val="2"/>
                <w:sz w:val="24"/>
                <w:szCs w:val="24"/>
                <w:lang w:val="en-US" w:eastAsia="zh-CN" w:bidi="ar-SA"/>
              </w:rPr>
            </w:pPr>
            <w:r>
              <w:rPr>
                <w:rFonts w:hint="eastAsia" w:ascii="Times New Roman" w:hAnsi="Times New Roman" w:cstheme="minorBidi"/>
                <w:kern w:val="2"/>
                <w:sz w:val="24"/>
                <w:szCs w:val="24"/>
                <w:lang w:val="en-US" w:eastAsia="zh-CN" w:bidi="ar-SA"/>
              </w:rPr>
              <w:t>质量指标</w:t>
            </w: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建党100周年主题教育活动出勤率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vMerge w:val="continue"/>
            <w:tcBorders>
              <w:left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lang w:val="en-US" w:eastAsia="zh-CN" w:bidi="ar-SA"/>
              </w:rPr>
            </w:pP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活动举办合格率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lang w:val="en-US" w:eastAsia="zh-CN" w:bidi="ar-SA"/>
              </w:rPr>
            </w:pP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培训出勤率</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heme="minorBidi"/>
                <w:kern w:val="2"/>
                <w:sz w:val="24"/>
                <w:szCs w:val="24"/>
                <w:lang w:val="en-US" w:eastAsia="zh-CN" w:bidi="ar-SA"/>
              </w:rPr>
            </w:pPr>
            <w:r>
              <w:rPr>
                <w:rFonts w:hint="eastAsia" w:ascii="Times New Roman" w:hAnsi="Times New Roman" w:cstheme="minorBidi"/>
                <w:kern w:val="2"/>
                <w:sz w:val="24"/>
                <w:szCs w:val="24"/>
                <w:lang w:val="en-US" w:eastAsia="zh-CN" w:bidi="ar-SA"/>
              </w:rPr>
              <w:t>时效指标</w:t>
            </w: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活动举办时间</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pStyle w:val="17"/>
              <w:rPr>
                <w:rFonts w:hint="eastAsia" w:ascii="Times New Roman" w:hAnsi="Times New Roman" w:eastAsia="仿宋" w:cstheme="minorBidi"/>
                <w:kern w:val="2"/>
                <w:sz w:val="24"/>
                <w:szCs w:val="24"/>
                <w:lang w:val="en-US" w:eastAsia="zh-CN" w:bidi="ar-SA"/>
              </w:rPr>
            </w:pP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培训会举办时间</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rPr>
                <w:rFonts w:hint="default" w:ascii="Times New Roman" w:hAnsi="Times New Roman" w:eastAsia="仿宋" w:cstheme="minorBidi"/>
                <w:kern w:val="2"/>
                <w:sz w:val="24"/>
                <w:szCs w:val="24"/>
                <w:lang w:val="en-US" w:eastAsia="zh-CN" w:bidi="ar-SA"/>
              </w:rPr>
            </w:pPr>
            <w:r>
              <w:rPr>
                <w:rFonts w:hint="eastAsia" w:cstheme="minorBidi"/>
                <w:kern w:val="2"/>
                <w:sz w:val="24"/>
                <w:szCs w:val="24"/>
                <w:lang w:val="en-US" w:eastAsia="zh-CN" w:bidi="ar-SA"/>
              </w:rPr>
              <w:t>成本指标</w:t>
            </w: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主题教育活动成本</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r>
              <w:rPr>
                <w:rFonts w:hint="eastAsia"/>
                <w:lang w:val="en-US" w:eastAsia="zh-CN"/>
              </w:rPr>
              <w:t>效益指标</w:t>
            </w:r>
          </w:p>
        </w:tc>
        <w:tc>
          <w:tcPr>
            <w:tcW w:w="949" w:type="pct"/>
            <w:vMerge w:val="restart"/>
            <w:tcBorders>
              <w:top w:val="single" w:color="auto" w:sz="4" w:space="0"/>
              <w:left w:val="single" w:color="auto" w:sz="4" w:space="0"/>
              <w:right w:val="single" w:color="auto" w:sz="4" w:space="0"/>
            </w:tcBorders>
            <w:shd w:val="clear" w:color="auto" w:fill="auto"/>
            <w:vAlign w:val="center"/>
          </w:tcPr>
          <w:p>
            <w:pPr>
              <w:pStyle w:val="17"/>
              <w:rPr>
                <w:rFonts w:hint="eastAsia" w:ascii="Times New Roman" w:hAnsi="Times New Roman" w:eastAsia="仿宋" w:cstheme="minorBidi"/>
                <w:kern w:val="2"/>
                <w:sz w:val="24"/>
                <w:szCs w:val="24"/>
                <w:lang w:val="en-US" w:eastAsia="zh-CN" w:bidi="ar-SA"/>
              </w:rPr>
            </w:pPr>
            <w:r>
              <w:rPr>
                <w:rFonts w:hint="eastAsia" w:ascii="Times New Roman" w:hAnsi="Times New Roman" w:eastAsia="仿宋" w:cstheme="minorBidi"/>
                <w:kern w:val="2"/>
                <w:sz w:val="24"/>
                <w:szCs w:val="24"/>
                <w:lang w:val="en-US" w:eastAsia="zh-CN" w:bidi="ar-SA"/>
              </w:rPr>
              <w:t>社会效益指标</w:t>
            </w: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加强理论学习，提高新的社会阶层人士思想认识</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7</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vMerge w:val="continue"/>
            <w:tcBorders>
              <w:left w:val="single" w:color="auto" w:sz="4" w:space="0"/>
              <w:right w:val="single" w:color="auto" w:sz="4" w:space="0"/>
            </w:tcBorders>
            <w:shd w:val="clear" w:color="auto" w:fill="auto"/>
            <w:vAlign w:val="center"/>
          </w:tcPr>
          <w:p>
            <w:pPr>
              <w:pStyle w:val="17"/>
              <w:rPr>
                <w:rFonts w:hint="eastAsia" w:ascii="Times New Roman" w:hAnsi="Times New Roman" w:eastAsia="仿宋" w:cstheme="minorBidi"/>
                <w:kern w:val="2"/>
                <w:sz w:val="24"/>
                <w:szCs w:val="24"/>
                <w:lang w:val="en-US" w:eastAsia="zh-CN" w:bidi="ar-SA"/>
              </w:rPr>
            </w:pP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强化实践锻炼，提升能力素质</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8</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pStyle w:val="17"/>
              <w:rPr>
                <w:rFonts w:hint="eastAsia" w:ascii="Times New Roman" w:hAnsi="Times New Roman" w:eastAsia="仿宋" w:cstheme="minorBidi"/>
                <w:kern w:val="2"/>
                <w:sz w:val="24"/>
                <w:szCs w:val="24"/>
                <w:lang w:val="en-US" w:eastAsia="zh-CN" w:bidi="ar-SA"/>
              </w:rPr>
            </w:pP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创新平台方式，发挥优势作用</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8</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rFonts w:hint="eastAsia"/>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rPr>
                <w:rFonts w:hint="eastAsia" w:ascii="Times New Roman" w:hAnsi="Times New Roman" w:eastAsia="仿宋" w:cstheme="minorBidi"/>
                <w:kern w:val="2"/>
                <w:sz w:val="24"/>
                <w:szCs w:val="24"/>
                <w:lang w:val="en-US" w:eastAsia="zh-CN" w:bidi="ar-SA"/>
              </w:rPr>
            </w:pPr>
            <w:r>
              <w:rPr>
                <w:rFonts w:hint="eastAsia" w:ascii="Times New Roman" w:hAnsi="Times New Roman" w:eastAsia="仿宋" w:cstheme="minorBidi"/>
                <w:kern w:val="2"/>
                <w:sz w:val="24"/>
                <w:szCs w:val="24"/>
                <w:lang w:val="en-US" w:eastAsia="zh-CN" w:bidi="ar-SA"/>
              </w:rPr>
              <w:t>可持续影响指标</w:t>
            </w:r>
          </w:p>
        </w:tc>
        <w:tc>
          <w:tcPr>
            <w:tcW w:w="1725" w:type="pct"/>
            <w:tcBorders>
              <w:top w:val="single" w:color="000000" w:sz="4" w:space="0"/>
              <w:left w:val="nil"/>
              <w:bottom w:val="single" w:color="000000" w:sz="4" w:space="0"/>
              <w:right w:val="single" w:color="000000" w:sz="4" w:space="0"/>
            </w:tcBorders>
            <w:shd w:val="clear" w:color="auto" w:fill="auto"/>
            <w:vAlign w:val="center"/>
          </w:tcPr>
          <w:p>
            <w:pPr>
              <w:pStyle w:val="17"/>
              <w:rPr>
                <w:rFonts w:hint="eastAsia"/>
                <w:highlight w:val="none"/>
              </w:rPr>
            </w:pPr>
            <w:r>
              <w:rPr>
                <w:rFonts w:hint="eastAsia"/>
                <w:highlight w:val="none"/>
              </w:rPr>
              <w:t>持续增进新的社会阶层人士政治认同、思想认同、理论认同</w:t>
            </w:r>
          </w:p>
        </w:tc>
        <w:tc>
          <w:tcPr>
            <w:tcW w:w="73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default" w:eastAsia="仿宋"/>
                <w:highlight w:val="none"/>
                <w:lang w:val="en-US" w:eastAsia="zh-CN"/>
              </w:rPr>
              <w:t>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firstLine="0" w:firstLineChars="0"/>
              <w:rPr>
                <w:rFonts w:hint="eastAsia"/>
                <w:highlight w:val="none"/>
                <w:lang w:val="en-US" w:eastAsia="zh-CN"/>
              </w:rPr>
            </w:pPr>
            <w:r>
              <w:rPr>
                <w:rFonts w:hint="default" w:eastAsia="仿宋"/>
                <w:highlight w:val="none"/>
                <w:lang w:val="en-US" w:eastAsia="zh-CN"/>
              </w:rPr>
              <w:t>7</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pPr>
            <w:r>
              <w:rPr>
                <w:rFonts w:hint="eastAsia"/>
              </w:rPr>
              <w:t>满意度</w:t>
            </w:r>
          </w:p>
          <w:p>
            <w:pPr>
              <w:pStyle w:val="17"/>
            </w:pPr>
            <w:r>
              <w:rPr>
                <w:rFonts w:hint="eastAsia"/>
              </w:rPr>
              <w:t>指标</w:t>
            </w:r>
          </w:p>
        </w:tc>
        <w:tc>
          <w:tcPr>
            <w:tcW w:w="949" w:type="pct"/>
            <w:tcBorders>
              <w:top w:val="single" w:color="auto" w:sz="4" w:space="0"/>
              <w:left w:val="nil"/>
              <w:bottom w:val="single" w:color="auto" w:sz="4" w:space="0"/>
              <w:right w:val="single" w:color="auto" w:sz="4" w:space="0"/>
            </w:tcBorders>
            <w:shd w:val="clear" w:color="auto" w:fill="auto"/>
            <w:noWrap/>
            <w:vAlign w:val="center"/>
          </w:tcPr>
          <w:p>
            <w:pPr>
              <w:pStyle w:val="17"/>
            </w:pPr>
            <w:r>
              <w:rPr>
                <w:rFonts w:hint="eastAsia"/>
              </w:rPr>
              <w:t>服务对象满意度指标</w:t>
            </w:r>
          </w:p>
        </w:tc>
        <w:tc>
          <w:tcPr>
            <w:tcW w:w="1725" w:type="pct"/>
            <w:tcBorders>
              <w:top w:val="single" w:color="auto" w:sz="4" w:space="0"/>
              <w:left w:val="nil"/>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参加活动人满意度</w:t>
            </w:r>
          </w:p>
        </w:tc>
        <w:tc>
          <w:tcPr>
            <w:tcW w:w="739"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ind w:firstLine="0" w:firstLineChars="0"/>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3447"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总分</w:t>
            </w:r>
          </w:p>
        </w:tc>
        <w:tc>
          <w:tcPr>
            <w:tcW w:w="739" w:type="pct"/>
            <w:tcBorders>
              <w:top w:val="single" w:color="auto" w:sz="4" w:space="0"/>
              <w:left w:val="nil"/>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1</w:t>
            </w:r>
            <w:r>
              <w:rPr>
                <w:highlight w:val="none"/>
              </w:rPr>
              <w:t>00</w:t>
            </w:r>
          </w:p>
        </w:tc>
        <w:tc>
          <w:tcPr>
            <w:tcW w:w="813" w:type="pct"/>
            <w:tcBorders>
              <w:top w:val="single" w:color="auto" w:sz="4" w:space="0"/>
              <w:left w:val="nil"/>
              <w:bottom w:val="single" w:color="auto" w:sz="4" w:space="0"/>
              <w:right w:val="single" w:color="auto"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100</w:t>
            </w:r>
          </w:p>
        </w:tc>
      </w:tr>
    </w:tbl>
    <w:p>
      <w:pPr>
        <w:pStyle w:val="4"/>
      </w:pPr>
      <w:bookmarkStart w:id="42" w:name="_Toc19564"/>
      <w:bookmarkStart w:id="43" w:name="_Toc79333445"/>
      <w:bookmarkStart w:id="44" w:name="_Toc31442"/>
      <w:r>
        <w:rPr>
          <w:rFonts w:hint="eastAsia"/>
        </w:rPr>
        <w:t>（二）自评指标分析</w:t>
      </w:r>
      <w:bookmarkEnd w:id="42"/>
      <w:bookmarkEnd w:id="43"/>
      <w:bookmarkEnd w:id="44"/>
    </w:p>
    <w:p>
      <w:pPr>
        <w:pStyle w:val="5"/>
        <w:ind w:firstLine="643"/>
      </w:pPr>
      <w:bookmarkStart w:id="45" w:name="_Toc9747"/>
      <w:bookmarkStart w:id="46" w:name="_Toc79333446"/>
      <w:r>
        <w:rPr>
          <w:rFonts w:hint="eastAsia"/>
        </w:rPr>
        <w:t>1、预算执行指标分析</w:t>
      </w:r>
      <w:bookmarkEnd w:id="45"/>
      <w:bookmarkEnd w:id="46"/>
    </w:p>
    <w:p>
      <w:pPr>
        <w:ind w:firstLine="640"/>
        <w:rPr>
          <w:highlight w:val="none"/>
        </w:rPr>
      </w:pPr>
      <w:r>
        <w:rPr>
          <w:rFonts w:hint="eastAsia"/>
        </w:rPr>
        <w:t>一级</w:t>
      </w:r>
      <w:r>
        <w:rPr>
          <w:rFonts w:hint="eastAsia"/>
          <w:highlight w:val="none"/>
        </w:rPr>
        <w:t>指标“预算执行”下设一个二级指标和一个三级指标，均为“预算执行率”，该指标标准分值</w:t>
      </w:r>
      <w:r>
        <w:rPr>
          <w:highlight w:val="none"/>
        </w:rPr>
        <w:t>10分，实际得分</w:t>
      </w:r>
      <w:r>
        <w:rPr>
          <w:rFonts w:hint="eastAsia"/>
          <w:highlight w:val="none"/>
          <w:lang w:val="en-US" w:eastAsia="zh-CN"/>
        </w:rPr>
        <w:t>10</w:t>
      </w:r>
      <w:r>
        <w:rPr>
          <w:rFonts w:hint="eastAsia"/>
          <w:highlight w:val="none"/>
        </w:rPr>
        <w:t>分。</w:t>
      </w:r>
    </w:p>
    <w:p>
      <w:pPr>
        <w:ind w:firstLine="640"/>
        <w:rPr>
          <w:highlight w:val="none"/>
        </w:rPr>
      </w:pPr>
      <w:r>
        <w:rPr>
          <w:rFonts w:hint="eastAsia"/>
          <w:highlight w:val="none"/>
        </w:rPr>
        <w:t>项目全年预算资金为</w:t>
      </w:r>
      <w:r>
        <w:rPr>
          <w:rFonts w:hint="eastAsia"/>
          <w:highlight w:val="none"/>
          <w:lang w:val="en-US" w:eastAsia="zh-CN"/>
        </w:rPr>
        <w:t>11.52</w:t>
      </w:r>
      <w:r>
        <w:rPr>
          <w:rFonts w:hint="eastAsia"/>
          <w:highlight w:val="none"/>
        </w:rPr>
        <w:t>万元，全年执行数为</w:t>
      </w:r>
      <w:r>
        <w:rPr>
          <w:rFonts w:hint="eastAsia"/>
          <w:highlight w:val="none"/>
          <w:lang w:val="en-US" w:eastAsia="zh-CN"/>
        </w:rPr>
        <w:t>11.52</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5"/>
        <w:ind w:firstLine="643"/>
        <w:rPr>
          <w:highlight w:val="none"/>
        </w:rPr>
      </w:pPr>
      <w:bookmarkStart w:id="47" w:name="_Toc79333447"/>
      <w:r>
        <w:rPr>
          <w:rFonts w:hint="eastAsia"/>
          <w:highlight w:val="none"/>
        </w:rPr>
        <w:t>2、产出指标分析</w:t>
      </w:r>
      <w:bookmarkEnd w:id="47"/>
    </w:p>
    <w:p>
      <w:pPr>
        <w:ind w:firstLine="640"/>
        <w:rPr>
          <w:highlight w:val="none"/>
        </w:rPr>
      </w:pPr>
      <w:r>
        <w:rPr>
          <w:rFonts w:hint="eastAsia"/>
        </w:rPr>
        <w:t>一级指标“产出指标”下设四个二级指标分别是：“数量指标”、“质量指标”、“时效指标”和“成本指标”。</w:t>
      </w:r>
    </w:p>
    <w:p>
      <w:pPr>
        <w:ind w:firstLine="640"/>
        <w:rPr>
          <w:rFonts w:hint="eastAsia"/>
          <w:highlight w:val="none"/>
        </w:rPr>
      </w:pPr>
      <w:r>
        <w:rPr>
          <w:rFonts w:hint="eastAsia"/>
          <w:highlight w:val="none"/>
        </w:rPr>
        <w:t>（1）数量指标</w:t>
      </w:r>
    </w:p>
    <w:p>
      <w:pPr>
        <w:ind w:firstLine="640"/>
        <w:rPr>
          <w:rFonts w:hint="eastAsia"/>
          <w:highlight w:val="none"/>
        </w:rPr>
      </w:pPr>
      <w:r>
        <w:rPr>
          <w:rFonts w:hint="eastAsia"/>
          <w:highlight w:val="none"/>
        </w:rPr>
        <w:t>“数量指标”下设二个三级指标“建党100周年主题教育活动场次”及“民主党派新成员培训”。</w:t>
      </w:r>
    </w:p>
    <w:p>
      <w:pPr>
        <w:pStyle w:val="2"/>
        <w:rPr>
          <w:rFonts w:hint="eastAsia"/>
          <w:highlight w:val="none"/>
        </w:rPr>
      </w:pPr>
      <w:r>
        <w:rPr>
          <w:rFonts w:hint="eastAsia"/>
          <w:highlight w:val="none"/>
        </w:rPr>
        <w:t>截止202</w:t>
      </w:r>
      <w:r>
        <w:rPr>
          <w:rFonts w:hint="eastAsia"/>
          <w:highlight w:val="none"/>
          <w:lang w:val="en-US" w:eastAsia="zh-CN"/>
        </w:rPr>
        <w:t>1</w:t>
      </w:r>
      <w:r>
        <w:rPr>
          <w:rFonts w:hint="eastAsia"/>
          <w:highlight w:val="none"/>
        </w:rPr>
        <w:t>年12月31日，建党100周年主题教育活动</w:t>
      </w:r>
      <w:r>
        <w:rPr>
          <w:rFonts w:hint="eastAsia"/>
          <w:highlight w:val="none"/>
          <w:lang w:val="en-US" w:eastAsia="zh-CN"/>
        </w:rPr>
        <w:t>已举行4场活动</w:t>
      </w:r>
      <w:r>
        <w:rPr>
          <w:rFonts w:hint="eastAsia"/>
          <w:highlight w:val="none"/>
        </w:rPr>
        <w:t>，该指标标准分值</w:t>
      </w:r>
      <w:r>
        <w:rPr>
          <w:rFonts w:hint="eastAsia"/>
          <w:highlight w:val="none"/>
          <w:lang w:val="en-US" w:eastAsia="zh-CN"/>
        </w:rPr>
        <w:t>10</w:t>
      </w:r>
      <w:r>
        <w:rPr>
          <w:rFonts w:hint="eastAsia"/>
          <w:highlight w:val="none"/>
        </w:rPr>
        <w:t>分，得</w:t>
      </w:r>
      <w:r>
        <w:rPr>
          <w:rFonts w:hint="eastAsia"/>
          <w:highlight w:val="none"/>
          <w:lang w:val="en-US" w:eastAsia="zh-CN"/>
        </w:rPr>
        <w:t>10</w:t>
      </w:r>
      <w:r>
        <w:rPr>
          <w:rFonts w:hint="eastAsia"/>
          <w:highlight w:val="none"/>
        </w:rPr>
        <w:t>分；民主党派新成员培训</w:t>
      </w:r>
      <w:r>
        <w:rPr>
          <w:rFonts w:hint="eastAsia"/>
          <w:highlight w:val="none"/>
          <w:lang w:val="en-US" w:eastAsia="zh-CN"/>
        </w:rPr>
        <w:t>已完成1场培训</w:t>
      </w:r>
      <w:r>
        <w:rPr>
          <w:rFonts w:hint="eastAsia"/>
          <w:highlight w:val="none"/>
        </w:rPr>
        <w:t>，该指标标准分值</w:t>
      </w:r>
      <w:r>
        <w:rPr>
          <w:rFonts w:hint="eastAsia"/>
          <w:highlight w:val="none"/>
          <w:lang w:val="en-US" w:eastAsia="zh-CN"/>
        </w:rPr>
        <w:t>10</w:t>
      </w:r>
      <w:r>
        <w:rPr>
          <w:rFonts w:hint="eastAsia"/>
          <w:highlight w:val="none"/>
        </w:rPr>
        <w:t>分，得</w:t>
      </w:r>
      <w:r>
        <w:rPr>
          <w:rFonts w:hint="eastAsia"/>
          <w:highlight w:val="none"/>
          <w:lang w:val="en-US" w:eastAsia="zh-CN"/>
        </w:rPr>
        <w:t>1</w:t>
      </w:r>
      <w:r>
        <w:rPr>
          <w:rFonts w:hint="eastAsia"/>
          <w:highlight w:val="none"/>
        </w:rPr>
        <w:t>0分。</w:t>
      </w:r>
    </w:p>
    <w:p>
      <w:pPr>
        <w:pStyle w:val="2"/>
        <w:rPr>
          <w:rFonts w:hint="eastAsia"/>
          <w:highlight w:val="none"/>
        </w:rPr>
      </w:pPr>
      <w:r>
        <w:rPr>
          <w:rFonts w:hint="eastAsia"/>
          <w:highlight w:val="none"/>
        </w:rPr>
        <w:t>综上所述，根据评分标准，数量指标实际得</w:t>
      </w:r>
      <w:r>
        <w:rPr>
          <w:rFonts w:hint="eastAsia"/>
          <w:highlight w:val="none"/>
          <w:lang w:val="en-US" w:eastAsia="zh-CN"/>
        </w:rPr>
        <w:t>20</w:t>
      </w:r>
      <w:r>
        <w:rPr>
          <w:rFonts w:hint="eastAsia"/>
          <w:highlight w:val="none"/>
        </w:rPr>
        <w:t>分。</w:t>
      </w:r>
    </w:p>
    <w:p>
      <w:pPr>
        <w:ind w:firstLine="640"/>
        <w:rPr>
          <w:rFonts w:hint="eastAsia"/>
          <w:highlight w:val="none"/>
          <w:lang w:eastAsia="zh-CN"/>
        </w:rPr>
      </w:pPr>
      <w:r>
        <w:rPr>
          <w:rFonts w:hint="eastAsia"/>
          <w:highlight w:val="none"/>
          <w:lang w:eastAsia="zh-CN"/>
        </w:rPr>
        <w:t>（2）质量指标</w:t>
      </w:r>
    </w:p>
    <w:p>
      <w:pPr>
        <w:ind w:firstLine="640"/>
        <w:rPr>
          <w:rFonts w:hint="eastAsia"/>
          <w:highlight w:val="none"/>
          <w:lang w:eastAsia="zh-CN"/>
        </w:rPr>
      </w:pPr>
      <w:r>
        <w:rPr>
          <w:rFonts w:hint="eastAsia"/>
          <w:highlight w:val="none"/>
          <w:lang w:eastAsia="zh-CN"/>
        </w:rPr>
        <w:t>“质量指标”下设</w:t>
      </w:r>
      <w:r>
        <w:rPr>
          <w:rFonts w:hint="eastAsia"/>
          <w:highlight w:val="none"/>
          <w:lang w:val="en-US" w:eastAsia="zh-CN"/>
        </w:rPr>
        <w:t>三</w:t>
      </w:r>
      <w:r>
        <w:rPr>
          <w:rFonts w:hint="eastAsia"/>
          <w:highlight w:val="none"/>
          <w:lang w:eastAsia="zh-CN"/>
        </w:rPr>
        <w:t>个三级指标“建党100周年主题教育活动出勤率”、“活动举办合格率”和“培训出勤率”。</w:t>
      </w:r>
    </w:p>
    <w:p>
      <w:pPr>
        <w:ind w:firstLine="640"/>
        <w:rPr>
          <w:rFonts w:hint="default"/>
          <w:highlight w:val="none"/>
          <w:lang w:val="en-US" w:eastAsia="zh-CN"/>
        </w:rPr>
      </w:pPr>
      <w:r>
        <w:rPr>
          <w:rFonts w:hint="eastAsia"/>
          <w:highlight w:val="none"/>
        </w:rPr>
        <w:t>截止202</w:t>
      </w:r>
      <w:r>
        <w:rPr>
          <w:rFonts w:hint="eastAsia"/>
          <w:highlight w:val="none"/>
          <w:lang w:val="en-US" w:eastAsia="zh-CN"/>
        </w:rPr>
        <w:t>1</w:t>
      </w:r>
      <w:r>
        <w:rPr>
          <w:rFonts w:hint="eastAsia"/>
          <w:highlight w:val="none"/>
        </w:rPr>
        <w:t>年12月31日</w:t>
      </w:r>
      <w:r>
        <w:rPr>
          <w:rFonts w:hint="eastAsia"/>
          <w:highlight w:val="none"/>
          <w:lang w:eastAsia="zh-CN"/>
        </w:rPr>
        <w:t>，</w:t>
      </w:r>
      <w:r>
        <w:rPr>
          <w:rFonts w:hint="eastAsia"/>
          <w:highlight w:val="none"/>
          <w:lang w:val="en-US" w:eastAsia="zh-CN"/>
        </w:rPr>
        <w:t>已成功举办建党100周年主题教育活动4场，</w:t>
      </w:r>
      <w:r>
        <w:rPr>
          <w:rFonts w:hint="eastAsia"/>
          <w:highlight w:val="none"/>
          <w:lang w:eastAsia="zh-CN"/>
        </w:rPr>
        <w:t>建党100周年主题教育活动出勤率需达到</w:t>
      </w:r>
      <w:r>
        <w:rPr>
          <w:rFonts w:hint="eastAsia"/>
          <w:highlight w:val="none"/>
          <w:lang w:val="en-US" w:eastAsia="zh-CN"/>
        </w:rPr>
        <w:t>95</w:t>
      </w:r>
      <w:r>
        <w:rPr>
          <w:rFonts w:hint="eastAsia"/>
          <w:highlight w:val="none"/>
          <w:lang w:eastAsia="zh-CN"/>
        </w:rPr>
        <w:t>%，</w:t>
      </w:r>
      <w:r>
        <w:rPr>
          <w:rFonts w:hint="eastAsia"/>
          <w:highlight w:val="none"/>
          <w:lang w:val="en-US" w:eastAsia="zh-CN"/>
        </w:rPr>
        <w:t>经查看活动签到表，</w:t>
      </w:r>
      <w:r>
        <w:rPr>
          <w:rFonts w:hint="eastAsia"/>
          <w:highlight w:val="none"/>
          <w:lang w:eastAsia="zh-CN"/>
        </w:rPr>
        <w:t>建党100周年主题教育活动出勤率</w:t>
      </w:r>
      <w:r>
        <w:rPr>
          <w:rFonts w:hint="eastAsia"/>
          <w:highlight w:val="none"/>
          <w:lang w:val="en-US" w:eastAsia="zh-CN"/>
        </w:rPr>
        <w:t>实际为96%</w:t>
      </w:r>
      <w:r>
        <w:rPr>
          <w:rFonts w:hint="eastAsia"/>
          <w:highlight w:val="none"/>
          <w:lang w:eastAsia="zh-CN"/>
        </w:rPr>
        <w:t>，</w:t>
      </w:r>
      <w:r>
        <w:rPr>
          <w:rFonts w:hint="eastAsia"/>
          <w:highlight w:val="none"/>
          <w:lang w:val="en-US" w:eastAsia="zh-CN"/>
        </w:rPr>
        <w:t>完成预期指标，</w:t>
      </w:r>
      <w:r>
        <w:rPr>
          <w:rFonts w:hint="eastAsia"/>
          <w:highlight w:val="none"/>
          <w:lang w:eastAsia="zh-CN"/>
        </w:rPr>
        <w:t>该指标标准分值为</w:t>
      </w:r>
      <w:r>
        <w:rPr>
          <w:rFonts w:hint="eastAsia"/>
          <w:highlight w:val="none"/>
          <w:lang w:val="en-US" w:eastAsia="zh-CN"/>
        </w:rPr>
        <w:t>5</w:t>
      </w:r>
      <w:r>
        <w:rPr>
          <w:rFonts w:hint="eastAsia"/>
          <w:highlight w:val="none"/>
          <w:lang w:eastAsia="zh-CN"/>
        </w:rPr>
        <w:t>分，得分为</w:t>
      </w:r>
      <w:r>
        <w:rPr>
          <w:rFonts w:hint="eastAsia"/>
          <w:highlight w:val="none"/>
          <w:lang w:val="en-US" w:eastAsia="zh-CN"/>
        </w:rPr>
        <w:t>5</w:t>
      </w:r>
      <w:r>
        <w:rPr>
          <w:rFonts w:hint="eastAsia"/>
          <w:highlight w:val="none"/>
          <w:lang w:eastAsia="zh-CN"/>
        </w:rPr>
        <w:t>分；建党100周年主题教育活动</w:t>
      </w:r>
      <w:r>
        <w:rPr>
          <w:rFonts w:hint="eastAsia"/>
          <w:highlight w:val="none"/>
          <w:lang w:val="en-US" w:eastAsia="zh-CN"/>
        </w:rPr>
        <w:t>已完满成功，</w:t>
      </w:r>
      <w:r>
        <w:rPr>
          <w:rFonts w:hint="eastAsia"/>
          <w:highlight w:val="none"/>
          <w:lang w:eastAsia="zh-CN"/>
        </w:rPr>
        <w:t>活动举办合格率</w:t>
      </w:r>
      <w:r>
        <w:rPr>
          <w:rFonts w:hint="eastAsia"/>
          <w:highlight w:val="none"/>
          <w:lang w:val="en-US" w:eastAsia="zh-CN"/>
        </w:rPr>
        <w:t>100%</w:t>
      </w:r>
      <w:r>
        <w:rPr>
          <w:rFonts w:hint="eastAsia"/>
          <w:highlight w:val="none"/>
          <w:lang w:eastAsia="zh-CN"/>
        </w:rPr>
        <w:t>，该项指标标准分值为</w:t>
      </w:r>
      <w:r>
        <w:rPr>
          <w:rFonts w:hint="eastAsia"/>
          <w:highlight w:val="none"/>
          <w:lang w:val="en-US" w:eastAsia="zh-CN"/>
        </w:rPr>
        <w:t>5</w:t>
      </w:r>
      <w:r>
        <w:rPr>
          <w:rFonts w:hint="eastAsia"/>
          <w:highlight w:val="none"/>
          <w:lang w:eastAsia="zh-CN"/>
        </w:rPr>
        <w:t>分，得分为</w:t>
      </w:r>
      <w:r>
        <w:rPr>
          <w:rFonts w:hint="eastAsia"/>
          <w:highlight w:val="none"/>
          <w:lang w:val="en-US" w:eastAsia="zh-CN"/>
        </w:rPr>
        <w:t>5</w:t>
      </w:r>
      <w:r>
        <w:rPr>
          <w:rFonts w:hint="eastAsia"/>
          <w:highlight w:val="none"/>
          <w:lang w:eastAsia="zh-CN"/>
        </w:rPr>
        <w:t>分；</w:t>
      </w:r>
      <w:r>
        <w:rPr>
          <w:rFonts w:hint="eastAsia"/>
          <w:highlight w:val="none"/>
          <w:lang w:val="en-US" w:eastAsia="zh-CN"/>
        </w:rPr>
        <w:t>已举办1场</w:t>
      </w:r>
      <w:r>
        <w:rPr>
          <w:rFonts w:hint="eastAsia"/>
          <w:highlight w:val="none"/>
          <w:lang w:eastAsia="zh-CN"/>
        </w:rPr>
        <w:t>民主党派新成员培训，</w:t>
      </w:r>
      <w:r>
        <w:rPr>
          <w:rFonts w:hint="eastAsia"/>
          <w:highlight w:val="none"/>
          <w:lang w:val="en-US" w:eastAsia="zh-CN"/>
        </w:rPr>
        <w:t>经查看培训成员签到表，</w:t>
      </w:r>
      <w:r>
        <w:rPr>
          <w:rFonts w:hint="eastAsia"/>
          <w:highlight w:val="none"/>
          <w:lang w:eastAsia="zh-CN"/>
        </w:rPr>
        <w:t>培训出勤率</w:t>
      </w:r>
      <w:r>
        <w:rPr>
          <w:rFonts w:hint="eastAsia"/>
          <w:highlight w:val="none"/>
          <w:lang w:val="en-US" w:eastAsia="zh-CN"/>
        </w:rPr>
        <w:t>达97%，完成预期指标，</w:t>
      </w:r>
      <w:r>
        <w:rPr>
          <w:rFonts w:hint="eastAsia"/>
          <w:highlight w:val="none"/>
          <w:lang w:eastAsia="zh-CN"/>
        </w:rPr>
        <w:t>该项指标标准分值为</w:t>
      </w:r>
      <w:r>
        <w:rPr>
          <w:rFonts w:hint="eastAsia"/>
          <w:highlight w:val="none"/>
          <w:lang w:val="en-US" w:eastAsia="zh-CN"/>
        </w:rPr>
        <w:t>5</w:t>
      </w:r>
      <w:r>
        <w:rPr>
          <w:rFonts w:hint="eastAsia"/>
          <w:highlight w:val="none"/>
          <w:lang w:eastAsia="zh-CN"/>
        </w:rPr>
        <w:t>分，得分为</w:t>
      </w:r>
      <w:r>
        <w:rPr>
          <w:rFonts w:hint="eastAsia"/>
          <w:highlight w:val="none"/>
          <w:lang w:val="en-US" w:eastAsia="zh-CN"/>
        </w:rPr>
        <w:t>5</w:t>
      </w:r>
      <w:r>
        <w:rPr>
          <w:rFonts w:hint="eastAsia"/>
          <w:highlight w:val="none"/>
          <w:lang w:eastAsia="zh-CN"/>
        </w:rPr>
        <w:t>分。</w:t>
      </w:r>
    </w:p>
    <w:p>
      <w:pPr>
        <w:ind w:firstLine="640"/>
        <w:rPr>
          <w:rFonts w:hint="eastAsia"/>
          <w:highlight w:val="yellow"/>
          <w:lang w:eastAsia="zh-CN"/>
        </w:rPr>
      </w:pPr>
      <w:r>
        <w:rPr>
          <w:rFonts w:hint="eastAsia"/>
          <w:highlight w:val="none"/>
          <w:lang w:eastAsia="zh-CN"/>
        </w:rPr>
        <w:t>综上所述，根据评分标准，质量指标实际得</w:t>
      </w:r>
      <w:r>
        <w:rPr>
          <w:rFonts w:hint="eastAsia"/>
          <w:highlight w:val="none"/>
          <w:lang w:val="en-US" w:eastAsia="zh-CN"/>
        </w:rPr>
        <w:t>15</w:t>
      </w:r>
      <w:r>
        <w:rPr>
          <w:rFonts w:hint="eastAsia"/>
          <w:highlight w:val="none"/>
          <w:lang w:eastAsia="zh-CN"/>
        </w:rPr>
        <w:t>分。</w:t>
      </w:r>
    </w:p>
    <w:p>
      <w:pPr>
        <w:ind w:firstLine="640"/>
        <w:rPr>
          <w:rFonts w:hint="eastAsia"/>
          <w:highlight w:val="none"/>
          <w:lang w:eastAsia="zh-CN"/>
        </w:rPr>
      </w:pPr>
      <w:r>
        <w:rPr>
          <w:rFonts w:hint="eastAsia"/>
          <w:highlight w:val="none"/>
          <w:lang w:eastAsia="zh-CN"/>
        </w:rPr>
        <w:t>（3）时效指标</w:t>
      </w:r>
    </w:p>
    <w:p>
      <w:pPr>
        <w:ind w:firstLine="640"/>
        <w:rPr>
          <w:rFonts w:hint="eastAsia"/>
          <w:highlight w:val="none"/>
          <w:lang w:eastAsia="zh-CN"/>
        </w:rPr>
      </w:pPr>
      <w:r>
        <w:rPr>
          <w:rFonts w:hint="eastAsia"/>
          <w:highlight w:val="none"/>
          <w:lang w:eastAsia="zh-CN"/>
        </w:rPr>
        <w:t>“时效指标”下设</w:t>
      </w:r>
      <w:r>
        <w:rPr>
          <w:rFonts w:hint="eastAsia"/>
          <w:highlight w:val="none"/>
          <w:lang w:val="en-US" w:eastAsia="zh-CN"/>
        </w:rPr>
        <w:t>两个</w:t>
      </w:r>
      <w:r>
        <w:rPr>
          <w:rFonts w:hint="eastAsia"/>
          <w:highlight w:val="none"/>
        </w:rPr>
        <w:t>三级指标“</w:t>
      </w:r>
      <w:r>
        <w:rPr>
          <w:rFonts w:hint="eastAsia" w:ascii="Times New Roman" w:hAnsi="Times New Roman"/>
          <w:highlight w:val="none"/>
        </w:rPr>
        <w:t>活动举办时间</w:t>
      </w:r>
      <w:r>
        <w:rPr>
          <w:rFonts w:hint="eastAsia"/>
          <w:highlight w:val="none"/>
        </w:rPr>
        <w:t>”</w:t>
      </w:r>
      <w:r>
        <w:rPr>
          <w:rFonts w:hint="eastAsia"/>
          <w:highlight w:val="none"/>
          <w:lang w:val="en-US" w:eastAsia="zh-CN"/>
        </w:rPr>
        <w:t>和“培训会举办时间”</w:t>
      </w:r>
      <w:r>
        <w:rPr>
          <w:rFonts w:hint="eastAsia"/>
          <w:highlight w:val="none"/>
          <w:lang w:eastAsia="zh-CN"/>
        </w:rPr>
        <w:t>。</w:t>
      </w:r>
    </w:p>
    <w:p>
      <w:pPr>
        <w:rPr>
          <w:rFonts w:hint="eastAsia"/>
          <w:highlight w:val="none"/>
          <w:lang w:eastAsia="zh-CN"/>
        </w:rPr>
      </w:pPr>
      <w:r>
        <w:rPr>
          <w:rFonts w:hint="eastAsia"/>
          <w:highlight w:val="none"/>
        </w:rPr>
        <w:t>截止202</w:t>
      </w:r>
      <w:r>
        <w:rPr>
          <w:rFonts w:hint="eastAsia"/>
          <w:highlight w:val="none"/>
          <w:lang w:val="en-US" w:eastAsia="zh-CN"/>
        </w:rPr>
        <w:t>1</w:t>
      </w:r>
      <w:r>
        <w:rPr>
          <w:rFonts w:hint="eastAsia"/>
          <w:highlight w:val="none"/>
        </w:rPr>
        <w:t>年12月31日</w:t>
      </w:r>
      <w:r>
        <w:rPr>
          <w:rFonts w:hint="eastAsia"/>
          <w:highlight w:val="none"/>
          <w:lang w:eastAsia="zh-CN"/>
        </w:rPr>
        <w:t>，</w:t>
      </w:r>
      <w:r>
        <w:rPr>
          <w:rFonts w:hint="eastAsia"/>
          <w:highlight w:val="none"/>
          <w:lang w:val="en-US" w:eastAsia="zh-CN"/>
        </w:rPr>
        <w:t>已成功举办建党100周年主题教育活动4场，活动时间为2021年6月17日-18日，</w:t>
      </w:r>
      <w:r>
        <w:rPr>
          <w:rFonts w:hint="eastAsia"/>
          <w:highlight w:val="none"/>
          <w:lang w:eastAsia="zh-CN"/>
        </w:rPr>
        <w:t>该指标标准分值为5分，得分为</w:t>
      </w:r>
      <w:r>
        <w:rPr>
          <w:rFonts w:hint="eastAsia"/>
          <w:highlight w:val="none"/>
          <w:lang w:val="en-US" w:eastAsia="zh-CN"/>
        </w:rPr>
        <w:t>5</w:t>
      </w:r>
      <w:r>
        <w:rPr>
          <w:rFonts w:hint="eastAsia"/>
          <w:highlight w:val="none"/>
          <w:lang w:eastAsia="zh-CN"/>
        </w:rPr>
        <w:t>分</w:t>
      </w:r>
      <w:r>
        <w:rPr>
          <w:rFonts w:hint="eastAsia"/>
          <w:highlight w:val="none"/>
          <w:lang w:val="en-US" w:eastAsia="zh-CN"/>
        </w:rPr>
        <w:t>；已举办1场</w:t>
      </w:r>
      <w:r>
        <w:rPr>
          <w:rFonts w:hint="eastAsia"/>
          <w:highlight w:val="none"/>
          <w:lang w:eastAsia="zh-CN"/>
        </w:rPr>
        <w:t>民主党派新成员培训，培训会举办时间</w:t>
      </w:r>
      <w:r>
        <w:rPr>
          <w:rFonts w:hint="eastAsia"/>
          <w:highlight w:val="none"/>
          <w:lang w:val="en-US" w:eastAsia="zh-CN"/>
        </w:rPr>
        <w:t>在2021年10月已完成。</w:t>
      </w:r>
      <w:r>
        <w:rPr>
          <w:rFonts w:hint="eastAsia"/>
          <w:highlight w:val="none"/>
          <w:lang w:eastAsia="zh-CN"/>
        </w:rPr>
        <w:t>该指标标准分值为5分，得分为</w:t>
      </w:r>
      <w:r>
        <w:rPr>
          <w:rFonts w:hint="eastAsia"/>
          <w:highlight w:val="none"/>
          <w:lang w:val="en-US" w:eastAsia="zh-CN"/>
        </w:rPr>
        <w:t>5</w:t>
      </w:r>
      <w:r>
        <w:rPr>
          <w:rFonts w:hint="eastAsia"/>
          <w:highlight w:val="none"/>
          <w:lang w:eastAsia="zh-CN"/>
        </w:rPr>
        <w:t>分。</w:t>
      </w:r>
    </w:p>
    <w:p>
      <w:pPr>
        <w:pStyle w:val="2"/>
        <w:rPr>
          <w:rFonts w:hint="eastAsia"/>
          <w:highlight w:val="none"/>
          <w:lang w:eastAsia="zh-CN"/>
        </w:rPr>
      </w:pPr>
      <w:r>
        <w:rPr>
          <w:rFonts w:hint="eastAsia"/>
          <w:highlight w:val="none"/>
          <w:lang w:eastAsia="zh-CN"/>
        </w:rPr>
        <w:t>综上所述，根据评分标准，</w:t>
      </w:r>
      <w:r>
        <w:rPr>
          <w:rFonts w:hint="eastAsia"/>
          <w:highlight w:val="none"/>
          <w:lang w:val="en-US" w:eastAsia="zh-CN"/>
        </w:rPr>
        <w:t>时效</w:t>
      </w:r>
      <w:r>
        <w:rPr>
          <w:rFonts w:hint="eastAsia"/>
          <w:highlight w:val="none"/>
          <w:lang w:eastAsia="zh-CN"/>
        </w:rPr>
        <w:t>指标实际得</w:t>
      </w:r>
      <w:r>
        <w:rPr>
          <w:rFonts w:hint="eastAsia"/>
          <w:highlight w:val="none"/>
          <w:lang w:val="en-US" w:eastAsia="zh-CN"/>
        </w:rPr>
        <w:t>10</w:t>
      </w:r>
      <w:r>
        <w:rPr>
          <w:rFonts w:hint="eastAsia"/>
          <w:highlight w:val="none"/>
          <w:lang w:eastAsia="zh-CN"/>
        </w:rPr>
        <w:t>分。</w:t>
      </w:r>
    </w:p>
    <w:p>
      <w:pPr>
        <w:ind w:firstLine="640"/>
        <w:rPr>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成本指标</w:t>
      </w:r>
    </w:p>
    <w:p>
      <w:pPr>
        <w:ind w:firstLine="640"/>
        <w:rPr>
          <w:rFonts w:hint="eastAsia"/>
          <w:highlight w:val="none"/>
        </w:rPr>
      </w:pPr>
      <w:r>
        <w:rPr>
          <w:rFonts w:hint="eastAsia"/>
          <w:highlight w:val="none"/>
        </w:rPr>
        <w:t>“</w:t>
      </w:r>
      <w:r>
        <w:rPr>
          <w:rFonts w:hint="eastAsia"/>
          <w:highlight w:val="none"/>
          <w:lang w:val="en-US" w:eastAsia="zh-CN"/>
        </w:rPr>
        <w:t>成本指标</w:t>
      </w:r>
      <w:r>
        <w:rPr>
          <w:rFonts w:hint="eastAsia"/>
          <w:highlight w:val="none"/>
        </w:rPr>
        <w:t>”下设</w:t>
      </w:r>
      <w:r>
        <w:rPr>
          <w:rFonts w:hint="eastAsia"/>
          <w:highlight w:val="none"/>
          <w:lang w:val="en-US" w:eastAsia="zh-CN"/>
        </w:rPr>
        <w:t>一个</w:t>
      </w:r>
      <w:r>
        <w:rPr>
          <w:rFonts w:hint="eastAsia"/>
          <w:highlight w:val="none"/>
        </w:rPr>
        <w:t>三级指标“</w:t>
      </w:r>
      <w:r>
        <w:rPr>
          <w:rFonts w:hint="eastAsia" w:ascii="Times New Roman" w:hAnsi="Times New Roman"/>
          <w:highlight w:val="none"/>
        </w:rPr>
        <w:t>主题教育活动成本</w:t>
      </w:r>
      <w:r>
        <w:rPr>
          <w:rFonts w:hint="eastAsia"/>
          <w:highlight w:val="none"/>
        </w:rPr>
        <w:t>”。</w:t>
      </w:r>
    </w:p>
    <w:p>
      <w:pPr>
        <w:ind w:firstLine="640"/>
        <w:rPr>
          <w:highlight w:val="none"/>
        </w:rPr>
      </w:pPr>
      <w:r>
        <w:rPr>
          <w:rFonts w:hint="eastAsia"/>
          <w:highlight w:val="none"/>
        </w:rPr>
        <w:t>2</w:t>
      </w:r>
      <w:r>
        <w:rPr>
          <w:highlight w:val="none"/>
        </w:rPr>
        <w:t>02</w:t>
      </w:r>
      <w:r>
        <w:rPr>
          <w:rFonts w:hint="eastAsia"/>
          <w:highlight w:val="none"/>
          <w:lang w:val="en-US" w:eastAsia="zh-CN"/>
        </w:rPr>
        <w:t>1</w:t>
      </w:r>
      <w:r>
        <w:rPr>
          <w:rFonts w:hint="eastAsia"/>
          <w:highlight w:val="none"/>
        </w:rPr>
        <w:t>年项目财政资金</w:t>
      </w:r>
      <w:r>
        <w:rPr>
          <w:rFonts w:hint="eastAsia"/>
          <w:highlight w:val="none"/>
          <w:lang w:val="en-US" w:eastAsia="zh-CN"/>
        </w:rPr>
        <w:t>11.52</w:t>
      </w:r>
      <w:r>
        <w:rPr>
          <w:rFonts w:hint="eastAsia"/>
          <w:highlight w:val="none"/>
        </w:rPr>
        <w:t>万元，实际支出</w:t>
      </w:r>
      <w:r>
        <w:rPr>
          <w:rFonts w:hint="eastAsia"/>
          <w:highlight w:val="none"/>
          <w:lang w:val="en-US" w:eastAsia="zh-CN"/>
        </w:rPr>
        <w:t>11.52</w:t>
      </w:r>
      <w:r>
        <w:rPr>
          <w:highlight w:val="none"/>
        </w:rPr>
        <w:t>万元</w:t>
      </w:r>
      <w:r>
        <w:rPr>
          <w:rFonts w:hint="eastAsia"/>
          <w:highlight w:val="none"/>
        </w:rPr>
        <w:t>，未超出预算批复金额，因此该项指标标准分值</w:t>
      </w:r>
      <w:r>
        <w:rPr>
          <w:rFonts w:hint="eastAsia"/>
          <w:highlight w:val="none"/>
          <w:lang w:val="en-US" w:eastAsia="zh-CN"/>
        </w:rPr>
        <w:t>5</w:t>
      </w:r>
      <w:r>
        <w:rPr>
          <w:rFonts w:hint="eastAsia"/>
          <w:highlight w:val="none"/>
        </w:rPr>
        <w:t>分，得</w:t>
      </w:r>
      <w:r>
        <w:rPr>
          <w:rFonts w:hint="eastAsia"/>
          <w:highlight w:val="none"/>
          <w:lang w:val="en-US" w:eastAsia="zh-CN"/>
        </w:rPr>
        <w:t>5</w:t>
      </w:r>
      <w:r>
        <w:rPr>
          <w:rFonts w:hint="eastAsia"/>
          <w:highlight w:val="none"/>
        </w:rPr>
        <w:t>分。</w:t>
      </w:r>
    </w:p>
    <w:p>
      <w:pPr>
        <w:pStyle w:val="5"/>
        <w:ind w:firstLine="643"/>
        <w:rPr>
          <w:highlight w:val="none"/>
        </w:rPr>
      </w:pPr>
      <w:bookmarkStart w:id="48" w:name="_Toc79333448"/>
      <w:r>
        <w:rPr>
          <w:highlight w:val="none"/>
        </w:rPr>
        <w:t>3、效益指标分析</w:t>
      </w:r>
      <w:bookmarkEnd w:id="48"/>
    </w:p>
    <w:p>
      <w:pPr>
        <w:rPr>
          <w:highlight w:val="none"/>
        </w:rPr>
      </w:pPr>
      <w:r>
        <w:rPr>
          <w:rFonts w:hint="eastAsia"/>
        </w:rPr>
        <w:t>“效益指标”</w:t>
      </w:r>
      <w:r>
        <w:rPr>
          <w:rFonts w:hint="eastAsia"/>
          <w:highlight w:val="none"/>
        </w:rPr>
        <w:t>下设</w:t>
      </w:r>
      <w:r>
        <w:rPr>
          <w:rFonts w:hint="eastAsia"/>
          <w:highlight w:val="none"/>
          <w:lang w:val="en-US" w:eastAsia="zh-CN"/>
        </w:rPr>
        <w:t>两</w:t>
      </w:r>
      <w:r>
        <w:rPr>
          <w:rFonts w:hint="eastAsia"/>
          <w:highlight w:val="none"/>
        </w:rPr>
        <w:t>个二级指标，分别为“社会效益</w:t>
      </w:r>
      <w:r>
        <w:rPr>
          <w:rFonts w:hint="eastAsia"/>
          <w:highlight w:val="none"/>
          <w:lang w:val="en-US" w:eastAsia="zh-CN"/>
        </w:rPr>
        <w:t>指标</w:t>
      </w:r>
      <w:r>
        <w:rPr>
          <w:rFonts w:hint="eastAsia"/>
          <w:highlight w:val="none"/>
        </w:rPr>
        <w:t>”</w:t>
      </w:r>
      <w:r>
        <w:rPr>
          <w:rFonts w:hint="eastAsia"/>
          <w:highlight w:val="none"/>
          <w:lang w:val="en-US" w:eastAsia="zh-CN"/>
        </w:rPr>
        <w:t>和</w:t>
      </w:r>
      <w:r>
        <w:rPr>
          <w:rFonts w:hint="eastAsia"/>
          <w:highlight w:val="none"/>
        </w:rPr>
        <w:t>“可持续影响</w:t>
      </w:r>
      <w:r>
        <w:rPr>
          <w:rFonts w:hint="eastAsia"/>
          <w:highlight w:val="none"/>
          <w:lang w:val="en-US" w:eastAsia="zh-CN"/>
        </w:rPr>
        <w:t>指标</w:t>
      </w:r>
      <w:r>
        <w:rPr>
          <w:rFonts w:hint="eastAsia"/>
          <w:highlight w:val="none"/>
        </w:rPr>
        <w:t>”。</w:t>
      </w:r>
    </w:p>
    <w:p>
      <w:pPr>
        <w:ind w:firstLine="640"/>
        <w:rPr>
          <w:highlight w:val="none"/>
        </w:rPr>
      </w:pPr>
      <w:r>
        <w:rPr>
          <w:rFonts w:hint="eastAsia"/>
          <w:highlight w:val="none"/>
        </w:rPr>
        <w:t>（</w:t>
      </w:r>
      <w:r>
        <w:rPr>
          <w:highlight w:val="none"/>
        </w:rPr>
        <w:t>1</w:t>
      </w:r>
      <w:r>
        <w:rPr>
          <w:rFonts w:hint="eastAsia"/>
          <w:highlight w:val="none"/>
        </w:rPr>
        <w:t>）社会效益</w:t>
      </w:r>
    </w:p>
    <w:p>
      <w:pPr>
        <w:ind w:firstLine="640"/>
        <w:rPr>
          <w:highlight w:val="none"/>
        </w:rPr>
      </w:pPr>
      <w:r>
        <w:rPr>
          <w:rFonts w:hint="eastAsia"/>
          <w:highlight w:val="none"/>
        </w:rPr>
        <w:t>“社会效益”下设</w:t>
      </w:r>
      <w:r>
        <w:rPr>
          <w:rFonts w:hint="eastAsia"/>
          <w:highlight w:val="none"/>
          <w:lang w:val="en-US" w:eastAsia="zh-CN"/>
        </w:rPr>
        <w:t>三个</w:t>
      </w:r>
      <w:r>
        <w:rPr>
          <w:rFonts w:hint="eastAsia"/>
          <w:highlight w:val="none"/>
        </w:rPr>
        <w:t>三级指标“加强理论学习，提高新的社会阶层人士思想认识”</w:t>
      </w:r>
      <w:r>
        <w:rPr>
          <w:rFonts w:hint="eastAsia"/>
          <w:highlight w:val="none"/>
          <w:lang w:eastAsia="zh-CN"/>
        </w:rPr>
        <w:t>、“强化实践锻炼，提升能力素质”</w:t>
      </w:r>
      <w:r>
        <w:rPr>
          <w:rFonts w:hint="eastAsia"/>
          <w:highlight w:val="none"/>
          <w:lang w:val="en-US" w:eastAsia="zh-CN"/>
        </w:rPr>
        <w:t>和“创新平台方式，发挥优势作用”</w:t>
      </w:r>
      <w:r>
        <w:rPr>
          <w:rFonts w:hint="eastAsia"/>
          <w:highlight w:val="none"/>
        </w:rPr>
        <w:t>。</w:t>
      </w:r>
    </w:p>
    <w:p>
      <w:pPr>
        <w:ind w:firstLine="640"/>
        <w:rPr>
          <w:rFonts w:hint="default" w:eastAsia="仿宋"/>
          <w:highlight w:val="none"/>
          <w:lang w:val="en-US" w:eastAsia="zh-CN"/>
        </w:rPr>
      </w:pPr>
      <w:r>
        <w:rPr>
          <w:rFonts w:hint="eastAsia"/>
          <w:highlight w:val="none"/>
          <w:lang w:val="en-US" w:eastAsia="zh-CN"/>
        </w:rPr>
        <w:t>项目实施以来，共完成4场建党100周年主题教育活动和1场民主党派新成员培训，广泛组织新的社会阶层人士认真学习贯彻党的理论和路线方针政策，深入开展党史学习教育活动，大力唱响共产党好、社会主义好、改革开放好、伟大祖国好、各族人民好的时代主旋律。积极引导新的社会阶层人士不断增进政治认同、思想认同、理论认同、情感认同，进一步增强“四个意思”，坚定“四个自信”做到“两个维护”，更加紧密的团结在以习近平为核心的党中央周围，奋力谱写新时代中原更加出彩绚丽篇章。项目的实施有助于</w:t>
      </w:r>
      <w:r>
        <w:rPr>
          <w:rFonts w:hint="eastAsia"/>
          <w:highlight w:val="none"/>
        </w:rPr>
        <w:t>加强理论学习，提高新的社会阶层人士思想认识</w:t>
      </w:r>
      <w:r>
        <w:rPr>
          <w:rFonts w:hint="eastAsia"/>
          <w:highlight w:val="none"/>
          <w:lang w:eastAsia="zh-CN"/>
        </w:rPr>
        <w:t>，强化</w:t>
      </w:r>
      <w:r>
        <w:rPr>
          <w:rFonts w:hint="eastAsia"/>
          <w:highlight w:val="none"/>
          <w:lang w:val="en-US" w:eastAsia="zh-CN"/>
        </w:rPr>
        <w:t>社会阶层人士</w:t>
      </w:r>
      <w:r>
        <w:rPr>
          <w:rFonts w:hint="eastAsia"/>
          <w:highlight w:val="none"/>
          <w:lang w:eastAsia="zh-CN"/>
        </w:rPr>
        <w:t>实践锻炼，提升能力素质，</w:t>
      </w:r>
      <w:r>
        <w:rPr>
          <w:rFonts w:hint="eastAsia"/>
          <w:highlight w:val="none"/>
          <w:lang w:val="en-US" w:eastAsia="zh-CN"/>
        </w:rPr>
        <w:t>通过创新平台方式，发挥优势作用。</w:t>
      </w:r>
    </w:p>
    <w:p>
      <w:pPr>
        <w:ind w:firstLine="640"/>
        <w:rPr>
          <w:rFonts w:hint="eastAsia"/>
          <w:highlight w:val="none"/>
        </w:rPr>
      </w:pPr>
      <w:r>
        <w:rPr>
          <w:rFonts w:hint="eastAsia"/>
          <w:highlight w:val="none"/>
        </w:rPr>
        <w:t>党外代表人士实践锻炼基地建设实现了党外干部、派出单位和接收单位三方的有效对接，成为党外代表人士实践锻炼的有效载体，为加强党外代表人士培养探索了有效途径</w:t>
      </w:r>
      <w:r>
        <w:rPr>
          <w:rFonts w:hint="eastAsia"/>
          <w:highlight w:val="none"/>
          <w:lang w:eastAsia="zh-CN"/>
        </w:rPr>
        <w:t>，</w:t>
      </w:r>
      <w:r>
        <w:rPr>
          <w:rFonts w:hint="eastAsia"/>
          <w:highlight w:val="none"/>
        </w:rPr>
        <w:t>党外代表</w:t>
      </w:r>
      <w:r>
        <w:rPr>
          <w:rFonts w:hint="eastAsia"/>
          <w:highlight w:val="none"/>
          <w:lang w:val="en-US" w:eastAsia="zh-CN"/>
        </w:rPr>
        <w:t>得到了</w:t>
      </w:r>
      <w:r>
        <w:rPr>
          <w:rFonts w:hint="eastAsia"/>
          <w:highlight w:val="none"/>
        </w:rPr>
        <w:t>强化实践锻炼，提升能力素质</w:t>
      </w:r>
      <w:r>
        <w:rPr>
          <w:rFonts w:hint="eastAsia"/>
          <w:highlight w:val="none"/>
          <w:lang w:val="en-US" w:eastAsia="zh-CN"/>
        </w:rPr>
        <w:t>的意义</w:t>
      </w:r>
      <w:r>
        <w:rPr>
          <w:rFonts w:hint="eastAsia"/>
          <w:highlight w:val="none"/>
        </w:rPr>
        <w:t>。</w:t>
      </w:r>
      <w:r>
        <w:rPr>
          <w:rFonts w:hint="eastAsia"/>
          <w:highlight w:val="none"/>
          <w:lang w:val="en-US" w:eastAsia="zh-CN"/>
        </w:rPr>
        <w:t>项目</w:t>
      </w:r>
      <w:r>
        <w:rPr>
          <w:rFonts w:hint="eastAsia"/>
          <w:highlight w:val="none"/>
        </w:rPr>
        <w:t>产生社会效益</w:t>
      </w:r>
      <w:r>
        <w:rPr>
          <w:rFonts w:hint="eastAsia"/>
          <w:highlight w:val="none"/>
          <w:lang w:val="en-US" w:eastAsia="zh-CN"/>
        </w:rPr>
        <w:t>达成预期指标</w:t>
      </w:r>
      <w:r>
        <w:rPr>
          <w:rFonts w:hint="eastAsia"/>
          <w:highlight w:val="none"/>
        </w:rPr>
        <w:t>，该指标标准分值为</w:t>
      </w:r>
      <w:r>
        <w:rPr>
          <w:rFonts w:hint="eastAsia"/>
          <w:highlight w:val="none"/>
          <w:lang w:val="en-US" w:eastAsia="zh-CN"/>
        </w:rPr>
        <w:t>23</w:t>
      </w:r>
      <w:r>
        <w:rPr>
          <w:rFonts w:hint="eastAsia"/>
          <w:highlight w:val="none"/>
        </w:rPr>
        <w:t>分，实际综合得分为</w:t>
      </w:r>
      <w:r>
        <w:rPr>
          <w:rFonts w:hint="eastAsia"/>
          <w:highlight w:val="none"/>
          <w:lang w:val="en-US" w:eastAsia="zh-CN"/>
        </w:rPr>
        <w:t>23</w:t>
      </w:r>
      <w:r>
        <w:rPr>
          <w:rFonts w:hint="eastAsia"/>
          <w:highlight w:val="none"/>
        </w:rPr>
        <w:t>分。</w:t>
      </w:r>
    </w:p>
    <w:p>
      <w:pPr>
        <w:ind w:firstLine="640"/>
      </w:pPr>
      <w:r>
        <w:rPr>
          <w:rFonts w:hint="eastAsia"/>
        </w:rPr>
        <w:t>（</w:t>
      </w:r>
      <w:r>
        <w:t>2</w:t>
      </w:r>
      <w:r>
        <w:rPr>
          <w:rFonts w:hint="eastAsia"/>
        </w:rPr>
        <w:t>）可持续影响</w:t>
      </w:r>
    </w:p>
    <w:p>
      <w:pPr>
        <w:ind w:firstLine="640"/>
        <w:rPr>
          <w:highlight w:val="none"/>
        </w:rPr>
      </w:pPr>
      <w:r>
        <w:rPr>
          <w:rFonts w:hint="eastAsia"/>
          <w:highlight w:val="none"/>
        </w:rPr>
        <w:t>“可持续影响”下设</w:t>
      </w:r>
      <w:r>
        <w:rPr>
          <w:rFonts w:hint="eastAsia"/>
          <w:highlight w:val="none"/>
          <w:lang w:val="en-US" w:eastAsia="zh-CN"/>
        </w:rPr>
        <w:t>一个</w:t>
      </w:r>
      <w:r>
        <w:rPr>
          <w:rFonts w:hint="eastAsia"/>
          <w:highlight w:val="none"/>
        </w:rPr>
        <w:t>三级指标“持续增进新的社会阶层人士政治认同、思想认同、理论认同”。</w:t>
      </w:r>
    </w:p>
    <w:p>
      <w:pPr>
        <w:pStyle w:val="2"/>
        <w:rPr>
          <w:highlight w:val="none"/>
        </w:rPr>
      </w:pPr>
      <w:r>
        <w:rPr>
          <w:rFonts w:hint="eastAsia"/>
          <w:highlight w:val="none"/>
          <w:lang w:val="en-US" w:eastAsia="zh-CN"/>
        </w:rPr>
        <w:t>项目实施以来，共完成4场建党100周年主题教育活动和1场民主党派新成员培训，广泛组织新的社会阶层人士认真学习贯彻党的理论和路线方针政策，</w:t>
      </w:r>
      <w:r>
        <w:rPr>
          <w:rFonts w:hint="eastAsia"/>
          <w:highlight w:val="none"/>
        </w:rPr>
        <w:t>持续增进新的社会阶层人士政治认同、思想认同、理论认同</w:t>
      </w:r>
      <w:r>
        <w:rPr>
          <w:rFonts w:hint="eastAsia"/>
          <w:highlight w:val="none"/>
          <w:lang w:eastAsia="zh-CN"/>
        </w:rPr>
        <w:t>。</w:t>
      </w:r>
      <w:r>
        <w:rPr>
          <w:rFonts w:hint="eastAsia"/>
          <w:highlight w:val="none"/>
        </w:rPr>
        <w:t>具有可持续影响效益，该指标标准分值为</w:t>
      </w:r>
      <w:r>
        <w:rPr>
          <w:rFonts w:hint="eastAsia"/>
          <w:highlight w:val="none"/>
          <w:lang w:val="en-US" w:eastAsia="zh-CN"/>
        </w:rPr>
        <w:t>7</w:t>
      </w:r>
      <w:r>
        <w:rPr>
          <w:rFonts w:hint="eastAsia"/>
          <w:highlight w:val="none"/>
        </w:rPr>
        <w:t>分，实际综合得分为</w:t>
      </w:r>
      <w:r>
        <w:rPr>
          <w:rFonts w:hint="eastAsia"/>
          <w:highlight w:val="none"/>
          <w:lang w:val="en-US" w:eastAsia="zh-CN"/>
        </w:rPr>
        <w:t>7</w:t>
      </w:r>
      <w:r>
        <w:rPr>
          <w:rFonts w:hint="eastAsia"/>
          <w:highlight w:val="none"/>
        </w:rPr>
        <w:t>分。</w:t>
      </w:r>
    </w:p>
    <w:p>
      <w:pPr>
        <w:pStyle w:val="5"/>
        <w:ind w:firstLine="643"/>
        <w:rPr>
          <w:highlight w:val="none"/>
        </w:rPr>
      </w:pPr>
      <w:bookmarkStart w:id="49" w:name="_Toc79333449"/>
      <w:r>
        <w:rPr>
          <w:highlight w:val="none"/>
        </w:rPr>
        <w:t>4、满意度指标分析</w:t>
      </w:r>
      <w:bookmarkEnd w:id="49"/>
    </w:p>
    <w:p>
      <w:pPr>
        <w:ind w:firstLine="640"/>
        <w:rPr>
          <w:rFonts w:hint="eastAsia" w:ascii="宋体" w:hAnsi="宋体" w:eastAsia="仿宋" w:cstheme="minorBidi"/>
          <w:kern w:val="2"/>
          <w:sz w:val="32"/>
          <w:szCs w:val="32"/>
          <w:highlight w:val="none"/>
          <w:lang w:val="en-US" w:eastAsia="zh-CN" w:bidi="ar-SA"/>
        </w:rPr>
      </w:pPr>
      <w:r>
        <w:rPr>
          <w:rFonts w:hint="eastAsia" w:ascii="宋体" w:hAnsi="宋体" w:eastAsia="仿宋" w:cstheme="minorBidi"/>
          <w:kern w:val="2"/>
          <w:sz w:val="32"/>
          <w:szCs w:val="32"/>
          <w:highlight w:val="none"/>
          <w:lang w:val="en-US" w:eastAsia="zh-CN" w:bidi="ar-SA"/>
        </w:rPr>
        <w:t>满意度：经调查，参加活动人员满意度为98%，根据评分标准，该项指标标准分值10分，得分为10分。</w:t>
      </w:r>
      <w:bookmarkStart w:id="50" w:name="_Toc29830"/>
      <w:bookmarkStart w:id="51" w:name="_Toc79333450"/>
    </w:p>
    <w:p>
      <w:pPr>
        <w:pStyle w:val="3"/>
        <w:bidi w:val="0"/>
        <w:rPr>
          <w:rFonts w:hint="eastAsia"/>
        </w:rPr>
      </w:pPr>
      <w:bookmarkStart w:id="52" w:name="_Toc19962"/>
      <w:r>
        <w:rPr>
          <w:rFonts w:hint="eastAsia"/>
        </w:rPr>
        <w:t>四、成果和问题</w:t>
      </w:r>
      <w:bookmarkEnd w:id="50"/>
      <w:bookmarkEnd w:id="51"/>
      <w:bookmarkEnd w:id="52"/>
    </w:p>
    <w:p>
      <w:pPr>
        <w:pStyle w:val="4"/>
        <w:rPr>
          <w:rFonts w:hint="eastAsia"/>
          <w:highlight w:val="none"/>
        </w:rPr>
      </w:pPr>
      <w:bookmarkStart w:id="53" w:name="_Toc79333451"/>
      <w:bookmarkStart w:id="54" w:name="_Toc12207"/>
      <w:r>
        <w:rPr>
          <w:rFonts w:hint="eastAsia"/>
          <w:highlight w:val="none"/>
        </w:rPr>
        <w:t>（一）项目实施的成果</w:t>
      </w:r>
      <w:bookmarkEnd w:id="53"/>
      <w:bookmarkEnd w:id="54"/>
    </w:p>
    <w:p>
      <w:pPr>
        <w:ind w:firstLine="640"/>
        <w:rPr>
          <w:rFonts w:hint="eastAsia"/>
          <w:highlight w:val="none"/>
        </w:rPr>
      </w:pPr>
      <w:r>
        <w:rPr>
          <w:rFonts w:hint="eastAsia"/>
          <w:highlight w:val="none"/>
        </w:rPr>
        <w:t>1.因地制宜、因材施教。市委统战部会同市委组织部，协商各民主党派市委会、有关团体推荐人选，按照“缺啥补啥、因材施教”的工作要求，结合实践锻炼基地推出的不同岗位要求，兼顾了挂职干部的专业领域、工作背景，使挂职人选推荐工作规范有序运行。严格实行各挂职单位行政领导带教制度，根据每位挂职干部的专业特长、工作经历，为挂职干部度身定做带教方案，确保了挂职干部“挂实职、行实权、干实事、出实效”。</w:t>
      </w:r>
    </w:p>
    <w:p>
      <w:pPr>
        <w:ind w:firstLine="640"/>
        <w:rPr>
          <w:highlight w:val="none"/>
        </w:rPr>
      </w:pPr>
      <w:r>
        <w:rPr>
          <w:rFonts w:hint="eastAsia"/>
          <w:highlight w:val="none"/>
        </w:rPr>
        <w:t>2.建立健全挂职锻炼基地工作制度。建立挂职培训制度、学习交流制度、走访挂职干部单位制度、挂职调研制度、挂职干部教育制度、经费保障制度和挂职考核工作制度等。挂职结束后，由市委统战部组织考察，对每名挂职干部挂职情况进行民主测评，形成挂职工作现实表现材料，并将考察情况反馈给挂职单位和派出单位，作为安排使用的重要参考依据，推进挂职工作规范扎实运行。</w:t>
      </w:r>
    </w:p>
    <w:p>
      <w:pPr>
        <w:pStyle w:val="4"/>
        <w:rPr>
          <w:b/>
          <w:highlight w:val="none"/>
        </w:rPr>
      </w:pPr>
      <w:bookmarkStart w:id="55" w:name="_Toc79333452"/>
      <w:bookmarkStart w:id="56" w:name="_Toc12380"/>
      <w:r>
        <w:rPr>
          <w:rFonts w:hint="eastAsia"/>
          <w:highlight w:val="none"/>
        </w:rPr>
        <w:t>（二）项目存在的问题</w:t>
      </w:r>
      <w:bookmarkEnd w:id="55"/>
      <w:bookmarkEnd w:id="56"/>
    </w:p>
    <w:p>
      <w:pPr>
        <w:rPr>
          <w:highlight w:val="none"/>
        </w:rPr>
      </w:pPr>
      <w:r>
        <w:rPr>
          <w:rFonts w:hint="eastAsia"/>
          <w:b/>
          <w:highlight w:val="none"/>
        </w:rPr>
        <w:t>前期绩效管理意识薄弱</w:t>
      </w:r>
      <w:r>
        <w:rPr>
          <w:rFonts w:hint="eastAsia"/>
          <w:b/>
          <w:highlight w:val="none"/>
          <w:lang w:eastAsia="zh-CN"/>
        </w:rPr>
        <w:t>：</w:t>
      </w:r>
      <w:r>
        <w:rPr>
          <w:rFonts w:hint="eastAsia"/>
          <w:highlight w:val="none"/>
        </w:rPr>
        <w:t>我单位在进行绩效自评工作时，发现由于前期绩效管理意识薄弱，未及时对项目全部资料进行梳理备案统一保管，出现资料不全问题，导致项目自评依据不完整，评价结果不够准确。</w:t>
      </w:r>
    </w:p>
    <w:p>
      <w:pPr>
        <w:pStyle w:val="3"/>
        <w:rPr>
          <w:highlight w:val="none"/>
        </w:rPr>
      </w:pPr>
      <w:bookmarkStart w:id="57" w:name="_Toc79333453"/>
      <w:bookmarkStart w:id="58" w:name="_Toc27227"/>
      <w:bookmarkStart w:id="59" w:name="_Toc29220"/>
      <w:r>
        <w:rPr>
          <w:rFonts w:hint="eastAsia"/>
          <w:highlight w:val="none"/>
        </w:rPr>
        <w:t>五、建议</w:t>
      </w:r>
      <w:bookmarkEnd w:id="57"/>
      <w:bookmarkEnd w:id="58"/>
      <w:bookmarkEnd w:id="59"/>
    </w:p>
    <w:p>
      <w:pPr>
        <w:pStyle w:val="4"/>
        <w:rPr>
          <w:highlight w:val="none"/>
        </w:rPr>
      </w:pPr>
      <w:bookmarkStart w:id="60" w:name="_Toc79333454"/>
      <w:bookmarkStart w:id="61" w:name="_Toc468"/>
      <w:r>
        <w:rPr>
          <w:rFonts w:hint="eastAsia"/>
          <w:highlight w:val="none"/>
        </w:rPr>
        <w:t>（一）强化预算绩效管理意识，提升项目产出效益</w:t>
      </w:r>
      <w:bookmarkEnd w:id="60"/>
      <w:bookmarkEnd w:id="61"/>
    </w:p>
    <w:p>
      <w:p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应按照全面实施预算绩效管理工作要求：牢固树立“花钱必有效，无效必问责”的预算绩效管理理念，加快推进全方位、全过程、全覆盖的预算绩效管理体系建设，积极推进全面实施预算绩效管理工作，提升预算绩效管理水平。为发挥好财政职能作用，必须按照全面深化改革的要求，提高单位绩效管理意识，使财政资金发挥真正的效益。</w:t>
      </w:r>
    </w:p>
    <w:p>
      <w:pPr>
        <w:pStyle w:val="4"/>
        <w:rPr>
          <w:highlight w:val="none"/>
        </w:rPr>
      </w:pPr>
      <w:bookmarkStart w:id="62" w:name="_Toc79333455"/>
      <w:bookmarkStart w:id="63" w:name="_Toc12892"/>
      <w:r>
        <w:rPr>
          <w:rFonts w:hint="eastAsia"/>
          <w:highlight w:val="none"/>
        </w:rPr>
        <w:t>（二）加强学习培训，进一步提高绩效管理水平</w:t>
      </w:r>
      <w:bookmarkEnd w:id="62"/>
      <w:bookmarkEnd w:id="63"/>
    </w:p>
    <w:p>
      <w:pPr>
        <w:ind w:firstLine="640"/>
        <w:rPr>
          <w:highlight w:val="none"/>
        </w:rPr>
      </w:pPr>
      <w:r>
        <w:rPr>
          <w:rFonts w:hint="eastAsia"/>
        </w:rPr>
        <w:t>培养绩效管理意识，提升绩效管理水平。根据今后的工作任务和要求，吸取往年工作的经验，明确努力方向，加强绩效评价在目标上的设定，完善绩效评价内容。以绩效管理宣传培训为措施，培养和提升绩效管理意识。进一步加强绩效管理氛围，一方面加强内部宣传，积极树立绩效管理理念，强化全员绩效意识，为推进预算绩效管理奠定良好基础；另一方面积极参加财政局组织的绩效培训，提高我单位全员绩效管理意识，增强全员素质着力建设绩效管理水平，让绩效管理深入人心，形成“花钱必问效，无效必问责”的理念。</w:t>
      </w:r>
    </w:p>
    <w:p>
      <w:pPr>
        <w:pStyle w:val="3"/>
        <w:rPr>
          <w:highlight w:val="none"/>
        </w:rPr>
      </w:pPr>
      <w:bookmarkStart w:id="64" w:name="_Toc79333457"/>
      <w:bookmarkStart w:id="65" w:name="_Toc665"/>
      <w:bookmarkStart w:id="66" w:name="_Toc9708"/>
      <w:r>
        <w:rPr>
          <w:rFonts w:hint="eastAsia"/>
          <w:highlight w:val="none"/>
        </w:rPr>
        <w:t>六、其他需要说明的问题</w:t>
      </w:r>
      <w:bookmarkEnd w:id="64"/>
      <w:bookmarkEnd w:id="65"/>
      <w:bookmarkEnd w:id="66"/>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3"/>
        <w:rPr>
          <w:highlight w:val="none"/>
        </w:rPr>
      </w:pPr>
      <w:bookmarkStart w:id="67" w:name="_Toc79333458"/>
      <w:bookmarkStart w:id="68" w:name="_Toc62030119"/>
      <w:bookmarkStart w:id="69" w:name="_Toc75871379"/>
      <w:bookmarkStart w:id="70" w:name="_Toc61882435"/>
      <w:bookmarkStart w:id="71" w:name="_Toc4085"/>
      <w:r>
        <w:rPr>
          <w:rFonts w:hint="eastAsia"/>
          <w:highlight w:val="none"/>
        </w:rPr>
        <w:t>七、附件</w:t>
      </w:r>
      <w:bookmarkEnd w:id="67"/>
      <w:bookmarkEnd w:id="68"/>
      <w:bookmarkEnd w:id="69"/>
      <w:bookmarkEnd w:id="70"/>
      <w:bookmarkEnd w:id="71"/>
    </w:p>
    <w:p>
      <w:pPr>
        <w:ind w:firstLine="640"/>
        <w:sectPr>
          <w:footerReference r:id="rId6" w:type="default"/>
          <w:pgSz w:w="11906" w:h="16838"/>
          <w:pgMar w:top="1440" w:right="1800" w:bottom="1440" w:left="1800" w:header="851" w:footer="737" w:gutter="0"/>
          <w:pgNumType w:fmt="decimal" w:start="1"/>
          <w:cols w:space="0" w:num="1"/>
          <w:docGrid w:linePitch="312" w:charSpace="0"/>
        </w:sectPr>
      </w:pPr>
      <w:r>
        <w:rPr>
          <w:rFonts w:hint="eastAsia"/>
        </w:rPr>
        <w:t>附件一：项目支出绩效自评表</w:t>
      </w:r>
    </w:p>
    <w:tbl>
      <w:tblPr>
        <w:tblStyle w:val="13"/>
        <w:tblW w:w="5180" w:type="pct"/>
        <w:tblInd w:w="0" w:type="dxa"/>
        <w:shd w:val="clear" w:color="auto" w:fill="auto"/>
        <w:tblLayout w:type="fixed"/>
        <w:tblCellMar>
          <w:top w:w="0" w:type="dxa"/>
          <w:left w:w="0" w:type="dxa"/>
          <w:bottom w:w="0" w:type="dxa"/>
          <w:right w:w="0" w:type="dxa"/>
        </w:tblCellMar>
      </w:tblPr>
      <w:tblGrid>
        <w:gridCol w:w="1272"/>
        <w:gridCol w:w="1003"/>
        <w:gridCol w:w="1226"/>
        <w:gridCol w:w="1162"/>
        <w:gridCol w:w="2519"/>
        <w:gridCol w:w="2200"/>
        <w:gridCol w:w="1562"/>
        <w:gridCol w:w="700"/>
        <w:gridCol w:w="713"/>
        <w:gridCol w:w="526"/>
        <w:gridCol w:w="1609"/>
      </w:tblGrid>
      <w:tr>
        <w:tblPrEx>
          <w:shd w:val="clear" w:color="auto" w:fill="auto"/>
          <w:tblCellMar>
            <w:top w:w="0" w:type="dxa"/>
            <w:left w:w="0" w:type="dxa"/>
            <w:bottom w:w="0" w:type="dxa"/>
            <w:right w:w="0" w:type="dxa"/>
          </w:tblCellMar>
        </w:tblPrEx>
        <w:trPr>
          <w:trHeight w:val="450" w:hRule="atLeast"/>
        </w:trPr>
        <w:tc>
          <w:tcPr>
            <w:tcW w:w="2477" w:type="pct"/>
            <w:gridSpan w:val="5"/>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附件1：项目支出绩效自评表</w:t>
            </w:r>
          </w:p>
        </w:tc>
        <w:tc>
          <w:tcPr>
            <w:tcW w:w="759"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38"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241"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245"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181"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55"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r>
      <w:tr>
        <w:tblPrEx>
          <w:shd w:val="clear" w:color="auto" w:fill="auto"/>
        </w:tblPrEx>
        <w:trPr>
          <w:trHeight w:val="559" w:hRule="atLeast"/>
        </w:trPr>
        <w:tc>
          <w:tcPr>
            <w:tcW w:w="5000" w:type="pct"/>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80" w:hRule="atLeast"/>
        </w:trPr>
        <w:tc>
          <w:tcPr>
            <w:tcW w:w="5000" w:type="pct"/>
            <w:gridSpan w:val="11"/>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spacing w:line="240" w:lineRule="auto"/>
              <w:ind w:left="0" w:leftChars="0" w:firstLine="0" w:firstLineChars="0"/>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r>
      <w:tr>
        <w:tblPrEx>
          <w:shd w:val="clear" w:color="auto" w:fill="auto"/>
          <w:tblCellMar>
            <w:top w:w="0" w:type="dxa"/>
            <w:left w:w="0" w:type="dxa"/>
            <w:bottom w:w="0" w:type="dxa"/>
            <w:right w:w="0" w:type="dxa"/>
          </w:tblCellMar>
        </w:tblPrEx>
        <w:trPr>
          <w:trHeight w:val="480" w:hRule="atLeast"/>
        </w:trPr>
        <w:tc>
          <w:tcPr>
            <w:tcW w:w="5000" w:type="pct"/>
            <w:gridSpan w:val="11"/>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填表人及联系方式：                        </w:t>
            </w:r>
          </w:p>
        </w:tc>
      </w:tr>
      <w:tr>
        <w:tblPrEx>
          <w:shd w:val="clear" w:color="auto" w:fill="auto"/>
          <w:tblCellMar>
            <w:top w:w="0" w:type="dxa"/>
            <w:left w:w="0" w:type="dxa"/>
            <w:bottom w:w="0" w:type="dxa"/>
            <w:right w:w="0" w:type="dxa"/>
          </w:tblCellMar>
        </w:tblPrEx>
        <w:trPr>
          <w:trHeight w:val="379" w:hRule="atLeast"/>
        </w:trPr>
        <w:tc>
          <w:tcPr>
            <w:tcW w:w="78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215" w:type="pct"/>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党外人士调研、培训、联谊经费</w:t>
            </w:r>
          </w:p>
        </w:tc>
      </w:tr>
      <w:tr>
        <w:tblPrEx>
          <w:shd w:val="clear" w:color="auto" w:fill="auto"/>
          <w:tblCellMar>
            <w:top w:w="0" w:type="dxa"/>
            <w:left w:w="0" w:type="dxa"/>
            <w:bottom w:w="0" w:type="dxa"/>
            <w:right w:w="0" w:type="dxa"/>
          </w:tblCellMar>
        </w:tblPrEx>
        <w:trPr>
          <w:trHeight w:val="379" w:hRule="atLeast"/>
        </w:trPr>
        <w:tc>
          <w:tcPr>
            <w:tcW w:w="78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主管部门及代码</w:t>
            </w:r>
          </w:p>
        </w:tc>
        <w:tc>
          <w:tcPr>
            <w:tcW w:w="245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22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r>
      <w:tr>
        <w:tblPrEx>
          <w:shd w:val="clear" w:color="auto" w:fill="auto"/>
          <w:tblCellMar>
            <w:top w:w="0" w:type="dxa"/>
            <w:left w:w="0" w:type="dxa"/>
            <w:bottom w:w="0" w:type="dxa"/>
            <w:right w:w="0" w:type="dxa"/>
          </w:tblCellMar>
        </w:tblPrEx>
        <w:trPr>
          <w:trHeight w:val="379" w:hRule="atLeast"/>
        </w:trPr>
        <w:tc>
          <w:tcPr>
            <w:tcW w:w="78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8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5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shd w:val="clear" w:color="auto" w:fill="auto"/>
          <w:tblCellMar>
            <w:top w:w="0" w:type="dxa"/>
            <w:left w:w="0" w:type="dxa"/>
            <w:bottom w:w="0" w:type="dxa"/>
            <w:right w:w="0" w:type="dxa"/>
          </w:tblCellMar>
        </w:tblPrEx>
        <w:trPr>
          <w:trHeight w:val="379" w:hRule="atLeast"/>
        </w:trPr>
        <w:tc>
          <w:tcPr>
            <w:tcW w:w="78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11.52</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11.52</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5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shd w:val="clear" w:color="auto" w:fill="auto"/>
          <w:tblCellMar>
            <w:top w:w="0" w:type="dxa"/>
            <w:left w:w="0" w:type="dxa"/>
            <w:bottom w:w="0" w:type="dxa"/>
            <w:right w:w="0" w:type="dxa"/>
          </w:tblCellMar>
        </w:tblPrEx>
        <w:trPr>
          <w:trHeight w:val="379" w:hRule="atLeast"/>
        </w:trPr>
        <w:tc>
          <w:tcPr>
            <w:tcW w:w="78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11.52</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11.52</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5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78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43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798"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176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760"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798"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1：庆祝中国共产党成立100周年，广泛组织新的社会阶层人士认真学习贯彻党的理论和路线方针政策，深入开展党史学习教育活动，大力唱响共产党好、社会主义好、改革开放好、伟大祖国好、各族人民好的时代主旋律。</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积极引导新的社会阶层人士不断增进政治认同、思想认同、理论认同、情感认同，进一步增强“四个意思”，坚定“四个自信”做到“两个维护”，更加紧密的团结在以习近平为核心的党中央周围，奋力谱写新时代中原更加出彩绚丽篇章。</w:t>
            </w:r>
          </w:p>
        </w:tc>
        <w:tc>
          <w:tcPr>
            <w:tcW w:w="176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已完成</w:t>
            </w:r>
          </w:p>
        </w:tc>
      </w:tr>
      <w:tr>
        <w:tblPrEx>
          <w:shd w:val="clear" w:color="auto" w:fill="auto"/>
        </w:tblPrEx>
        <w:trPr>
          <w:trHeight w:val="540" w:hRule="atLeast"/>
        </w:trPr>
        <w:tc>
          <w:tcPr>
            <w:tcW w:w="43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3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指标1：建党100周年主题教育活动场次</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4场</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4场</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指标2：民主党派新成员培训</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1场</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1场</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指标1：建党100周年主题教育活动出勤率</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指标2：活动举办合格率</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282"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指标3：培训出勤率</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指标1：活动举办时间</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2021年6月17日-18日</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于2021年6月17日-18日已完成</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指标2：培训会举办时间</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2021年10月</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于2021年10月已完成</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指标1：主题教育活动成本</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≤12万</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11.52万元</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指标1：加强理论学习，提高新的社会阶层人士思想认识</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指标2：强化实践锻炼，提升能力素质</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82"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指标3：创新平台方式，发挥优势作用</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发挥</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指标1：持续增进新的社会阶层人士政治认同、思想认同、理论认同</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持续增进</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2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指标1：参加活动人满意度</w:t>
            </w:r>
          </w:p>
        </w:tc>
        <w:tc>
          <w:tcPr>
            <w:tcW w:w="7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377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4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注：1.绩效自评采取打分评价的形式，</w:t>
            </w:r>
            <w:r>
              <w:rPr>
                <w:rStyle w:val="30"/>
                <w:lang w:val="en-US" w:eastAsia="zh-CN" w:bidi="ar"/>
              </w:rPr>
              <w:t>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shd w:val="clear" w:color="auto" w:fill="auto"/>
          <w:tblCellMar>
            <w:top w:w="0" w:type="dxa"/>
            <w:left w:w="0" w:type="dxa"/>
            <w:bottom w:w="0" w:type="dxa"/>
            <w:right w:w="0" w:type="dxa"/>
          </w:tblCellMar>
        </w:tblPrEx>
        <w:trPr>
          <w:trHeight w:val="45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bl>
    <w:p>
      <w:pPr>
        <w:tabs>
          <w:tab w:val="left" w:pos="1400"/>
        </w:tabs>
        <w:spacing w:line="20" w:lineRule="exact"/>
        <w:ind w:left="0" w:leftChars="0" w:firstLine="0" w:firstLineChars="0"/>
      </w:pPr>
    </w:p>
    <w:sectPr>
      <w:pgSz w:w="16838" w:h="11906" w:orient="landscape"/>
      <w:pgMar w:top="1797" w:right="1440" w:bottom="1797" w:left="1440" w:header="851" w:footer="992" w:gutter="0"/>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6E18D1"/>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63298"/>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5C5B01"/>
    <w:rsid w:val="01645940"/>
    <w:rsid w:val="03390C73"/>
    <w:rsid w:val="03AA4003"/>
    <w:rsid w:val="03C660F1"/>
    <w:rsid w:val="042B4352"/>
    <w:rsid w:val="049E2A90"/>
    <w:rsid w:val="06DD5138"/>
    <w:rsid w:val="09034D82"/>
    <w:rsid w:val="097D7D21"/>
    <w:rsid w:val="0B9E0125"/>
    <w:rsid w:val="0C3A7A32"/>
    <w:rsid w:val="0DB52993"/>
    <w:rsid w:val="0DC522B3"/>
    <w:rsid w:val="0E7C346D"/>
    <w:rsid w:val="0EA52EFE"/>
    <w:rsid w:val="0EE02FCE"/>
    <w:rsid w:val="0F6A14A8"/>
    <w:rsid w:val="11D14067"/>
    <w:rsid w:val="183D6D9C"/>
    <w:rsid w:val="187F0186"/>
    <w:rsid w:val="19B27315"/>
    <w:rsid w:val="1B002515"/>
    <w:rsid w:val="1BA50EE0"/>
    <w:rsid w:val="1CBF4C66"/>
    <w:rsid w:val="1FC12A3D"/>
    <w:rsid w:val="21032E75"/>
    <w:rsid w:val="23947A9C"/>
    <w:rsid w:val="2449572C"/>
    <w:rsid w:val="2636356A"/>
    <w:rsid w:val="26CB226F"/>
    <w:rsid w:val="27E234BC"/>
    <w:rsid w:val="27EB48B5"/>
    <w:rsid w:val="28535C27"/>
    <w:rsid w:val="28577A06"/>
    <w:rsid w:val="29153FC4"/>
    <w:rsid w:val="29EF2FF3"/>
    <w:rsid w:val="2AD823CE"/>
    <w:rsid w:val="2AE845D1"/>
    <w:rsid w:val="2E69095A"/>
    <w:rsid w:val="2E900374"/>
    <w:rsid w:val="30FD39D4"/>
    <w:rsid w:val="31CC65D9"/>
    <w:rsid w:val="33423060"/>
    <w:rsid w:val="338C72B0"/>
    <w:rsid w:val="340A4177"/>
    <w:rsid w:val="3425693E"/>
    <w:rsid w:val="358D1218"/>
    <w:rsid w:val="37360FC5"/>
    <w:rsid w:val="38136BFF"/>
    <w:rsid w:val="390B472B"/>
    <w:rsid w:val="3ACF086A"/>
    <w:rsid w:val="3B080524"/>
    <w:rsid w:val="3B4D369C"/>
    <w:rsid w:val="408C5853"/>
    <w:rsid w:val="41A06F3D"/>
    <w:rsid w:val="41EE317E"/>
    <w:rsid w:val="432C3568"/>
    <w:rsid w:val="441E6300"/>
    <w:rsid w:val="44BA6EFA"/>
    <w:rsid w:val="450D34CE"/>
    <w:rsid w:val="460B5C3E"/>
    <w:rsid w:val="466B4BDD"/>
    <w:rsid w:val="4B247459"/>
    <w:rsid w:val="4C7E2F03"/>
    <w:rsid w:val="4C83273F"/>
    <w:rsid w:val="4E992DD9"/>
    <w:rsid w:val="4F3D70A6"/>
    <w:rsid w:val="502B1301"/>
    <w:rsid w:val="50640DB9"/>
    <w:rsid w:val="50A849F3"/>
    <w:rsid w:val="50C37060"/>
    <w:rsid w:val="533F163E"/>
    <w:rsid w:val="54810EF7"/>
    <w:rsid w:val="55F834F4"/>
    <w:rsid w:val="598F7535"/>
    <w:rsid w:val="5BED3441"/>
    <w:rsid w:val="5D8E187E"/>
    <w:rsid w:val="5D9C0C5A"/>
    <w:rsid w:val="5F335DCF"/>
    <w:rsid w:val="63BF54E2"/>
    <w:rsid w:val="65091475"/>
    <w:rsid w:val="65A17FA7"/>
    <w:rsid w:val="65F64C94"/>
    <w:rsid w:val="665E17DF"/>
    <w:rsid w:val="666D63A3"/>
    <w:rsid w:val="687234C5"/>
    <w:rsid w:val="68D9013D"/>
    <w:rsid w:val="69312D5B"/>
    <w:rsid w:val="6AB0555D"/>
    <w:rsid w:val="6B56531F"/>
    <w:rsid w:val="6DAC5931"/>
    <w:rsid w:val="70493BA2"/>
    <w:rsid w:val="74373814"/>
    <w:rsid w:val="74AD3F2D"/>
    <w:rsid w:val="74CE5F27"/>
    <w:rsid w:val="762553A5"/>
    <w:rsid w:val="762F6FB7"/>
    <w:rsid w:val="77753743"/>
    <w:rsid w:val="789E7920"/>
    <w:rsid w:val="7B18629C"/>
    <w:rsid w:val="7BF34CA6"/>
    <w:rsid w:val="7CF101EF"/>
    <w:rsid w:val="7EB02B41"/>
    <w:rsid w:val="7F89741B"/>
    <w:rsid w:val="7FC26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3">
    <w:name w:val="heading 1"/>
    <w:basedOn w:val="1"/>
    <w:next w:val="1"/>
    <w:link w:val="16"/>
    <w:qFormat/>
    <w:uiPriority w:val="9"/>
    <w:pPr>
      <w:keepNext/>
      <w:keepLines/>
      <w:ind w:firstLine="0" w:firstLineChars="0"/>
      <w:jc w:val="left"/>
      <w:outlineLvl w:val="0"/>
    </w:pPr>
    <w:rPr>
      <w:rFonts w:ascii="黑体" w:hAnsi="黑体" w:eastAsia="黑体"/>
      <w:b/>
      <w:bCs/>
      <w:kern w:val="44"/>
    </w:rPr>
  </w:style>
  <w:style w:type="paragraph" w:styleId="4">
    <w:name w:val="heading 2"/>
    <w:basedOn w:val="1"/>
    <w:next w:val="5"/>
    <w:link w:val="18"/>
    <w:unhideWhenUsed/>
    <w:qFormat/>
    <w:uiPriority w:val="9"/>
    <w:pPr>
      <w:keepNext/>
      <w:keepLines/>
      <w:ind w:firstLine="0" w:firstLineChars="0"/>
      <w:jc w:val="left"/>
      <w:outlineLvl w:val="1"/>
    </w:pPr>
    <w:rPr>
      <w:rFonts w:ascii="楷体" w:hAnsi="楷体" w:eastAsia="楷体" w:cstheme="majorBidi"/>
      <w:b/>
      <w:bCs/>
    </w:rPr>
  </w:style>
  <w:style w:type="paragraph" w:styleId="5">
    <w:name w:val="heading 3"/>
    <w:basedOn w:val="1"/>
    <w:next w:val="1"/>
    <w:link w:val="21"/>
    <w:unhideWhenUsed/>
    <w:qFormat/>
    <w:uiPriority w:val="9"/>
    <w:pPr>
      <w:keepNext/>
      <w:keepLines/>
      <w:ind w:firstLine="200"/>
      <w:jc w:val="left"/>
      <w:outlineLvl w:val="2"/>
    </w:pPr>
    <w:rPr>
      <w:rFonts w:ascii="宋体" w:hAnsi="宋体"/>
      <w:b/>
      <w:bCs/>
    </w:rPr>
  </w:style>
  <w:style w:type="paragraph" w:styleId="6">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ind w:left="0" w:firstLine="638"/>
    </w:pPr>
    <w:rPr>
      <w:rFonts w:ascii="宋体" w:hAnsi="宋体" w:eastAsia="仿宋"/>
    </w:rPr>
  </w:style>
  <w:style w:type="paragraph" w:styleId="7">
    <w:name w:val="annotation text"/>
    <w:basedOn w:val="1"/>
    <w:qFormat/>
    <w:uiPriority w:val="0"/>
    <w:pPr>
      <w:jc w:val="left"/>
    </w:pPr>
  </w:style>
  <w:style w:type="paragraph" w:styleId="8">
    <w:name w:val="toc 3"/>
    <w:basedOn w:val="1"/>
    <w:next w:val="1"/>
    <w:unhideWhenUsed/>
    <w:qFormat/>
    <w:uiPriority w:val="39"/>
    <w:pPr>
      <w:ind w:left="840" w:leftChars="400"/>
    </w:pPr>
  </w:style>
  <w:style w:type="paragraph" w:styleId="9">
    <w:name w:val="footer"/>
    <w:basedOn w:val="1"/>
    <w:link w:val="20"/>
    <w:unhideWhenUsed/>
    <w:qFormat/>
    <w:uiPriority w:val="99"/>
    <w:pPr>
      <w:tabs>
        <w:tab w:val="center" w:pos="4153"/>
        <w:tab w:val="right" w:pos="8306"/>
      </w:tabs>
      <w:spacing w:line="240" w:lineRule="auto"/>
      <w:ind w:firstLine="0" w:firstLineChars="0"/>
      <w:jc w:val="left"/>
    </w:pPr>
    <w:rPr>
      <w:sz w:val="28"/>
      <w:szCs w:val="2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1">
    <w:name w:val="toc 1"/>
    <w:basedOn w:val="1"/>
    <w:next w:val="1"/>
    <w:unhideWhenUsed/>
    <w:qFormat/>
    <w:uiPriority w:val="39"/>
    <w:pPr>
      <w:tabs>
        <w:tab w:val="right" w:leader="dot" w:pos="8296"/>
      </w:tabs>
      <w:ind w:firstLine="0" w:firstLineChars="0"/>
      <w:jc w:val="center"/>
    </w:pPr>
    <w:rPr>
      <w:b/>
    </w:rPr>
  </w:style>
  <w:style w:type="paragraph" w:styleId="12">
    <w:name w:val="toc 2"/>
    <w:basedOn w:val="1"/>
    <w:next w:val="1"/>
    <w:unhideWhenUsed/>
    <w:qFormat/>
    <w:uiPriority w:val="39"/>
    <w:pPr>
      <w:ind w:left="420" w:leftChars="200" w:firstLine="0" w:firstLineChars="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1 字符"/>
    <w:basedOn w:val="15"/>
    <w:link w:val="3"/>
    <w:qFormat/>
    <w:uiPriority w:val="9"/>
    <w:rPr>
      <w:rFonts w:ascii="黑体" w:hAnsi="黑体" w:eastAsia="黑体"/>
      <w:b/>
      <w:bCs/>
      <w:kern w:val="44"/>
      <w:sz w:val="32"/>
      <w:szCs w:val="32"/>
    </w:rPr>
  </w:style>
  <w:style w:type="paragraph" w:customStyle="1" w:styleId="17">
    <w:name w:val="表格"/>
    <w:basedOn w:val="1"/>
    <w:next w:val="1"/>
    <w:qFormat/>
    <w:uiPriority w:val="0"/>
    <w:pPr>
      <w:spacing w:line="240" w:lineRule="auto"/>
      <w:ind w:firstLine="0" w:firstLineChars="0"/>
      <w:jc w:val="center"/>
    </w:pPr>
    <w:rPr>
      <w:rFonts w:ascii="Times New Roman" w:hAnsi="Times New Roman"/>
      <w:sz w:val="24"/>
      <w:szCs w:val="24"/>
    </w:rPr>
  </w:style>
  <w:style w:type="character" w:customStyle="1" w:styleId="18">
    <w:name w:val="标题 2 字符"/>
    <w:basedOn w:val="15"/>
    <w:link w:val="4"/>
    <w:qFormat/>
    <w:uiPriority w:val="9"/>
    <w:rPr>
      <w:rFonts w:ascii="楷体" w:hAnsi="楷体" w:eastAsia="楷体" w:cstheme="majorBidi"/>
      <w:b/>
      <w:bCs/>
      <w:kern w:val="2"/>
      <w:sz w:val="32"/>
      <w:szCs w:val="32"/>
    </w:rPr>
  </w:style>
  <w:style w:type="paragraph" w:customStyle="1" w:styleId="19">
    <w:name w:val="表头"/>
    <w:basedOn w:val="1"/>
    <w:next w:val="1"/>
    <w:qFormat/>
    <w:uiPriority w:val="0"/>
    <w:pPr>
      <w:spacing w:before="100" w:after="100"/>
      <w:jc w:val="center"/>
    </w:pPr>
    <w:rPr>
      <w:rFonts w:ascii="Times New Roman" w:hAnsi="Times New Roman"/>
      <w:b/>
      <w:bCs/>
      <w:szCs w:val="28"/>
    </w:rPr>
  </w:style>
  <w:style w:type="character" w:customStyle="1" w:styleId="20">
    <w:name w:val="页脚 字符"/>
    <w:basedOn w:val="15"/>
    <w:link w:val="9"/>
    <w:qFormat/>
    <w:uiPriority w:val="99"/>
    <w:rPr>
      <w:rFonts w:eastAsia="仿宋"/>
      <w:sz w:val="28"/>
      <w:szCs w:val="28"/>
    </w:rPr>
  </w:style>
  <w:style w:type="character" w:customStyle="1" w:styleId="21">
    <w:name w:val="标题 3 字符"/>
    <w:basedOn w:val="15"/>
    <w:link w:val="5"/>
    <w:qFormat/>
    <w:uiPriority w:val="9"/>
    <w:rPr>
      <w:rFonts w:ascii="宋体" w:hAnsi="宋体" w:eastAsia="仿宋"/>
      <w:b/>
      <w:bCs/>
      <w:kern w:val="2"/>
      <w:sz w:val="32"/>
      <w:szCs w:val="32"/>
    </w:rPr>
  </w:style>
  <w:style w:type="character" w:customStyle="1" w:styleId="22">
    <w:name w:val="标题 4 字符"/>
    <w:basedOn w:val="15"/>
    <w:link w:val="6"/>
    <w:semiHidden/>
    <w:qFormat/>
    <w:uiPriority w:val="9"/>
    <w:rPr>
      <w:rFonts w:asciiTheme="majorHAnsi" w:hAnsiTheme="majorHAnsi" w:eastAsiaTheme="majorEastAsia" w:cstheme="majorBidi"/>
      <w:b/>
      <w:bCs/>
      <w:kern w:val="2"/>
      <w:sz w:val="28"/>
      <w:szCs w:val="28"/>
    </w:rPr>
  </w:style>
  <w:style w:type="paragraph" w:customStyle="1" w:styleId="23">
    <w:name w:val="本模板"/>
    <w:basedOn w:val="1"/>
    <w:next w:val="1"/>
    <w:qFormat/>
    <w:uiPriority w:val="0"/>
    <w:pPr>
      <w:ind w:firstLine="0" w:firstLineChars="0"/>
      <w:jc w:val="center"/>
    </w:pPr>
  </w:style>
  <w:style w:type="paragraph" w:customStyle="1" w:styleId="24">
    <w:name w:val="由"/>
    <w:basedOn w:val="1"/>
    <w:qFormat/>
    <w:uiPriority w:val="0"/>
    <w:pPr>
      <w:ind w:firstLine="0" w:firstLineChars="0"/>
      <w:jc w:val="center"/>
    </w:pPr>
  </w:style>
  <w:style w:type="paragraph" w:customStyle="1" w:styleId="25">
    <w:name w:val="昭元绩效"/>
    <w:basedOn w:val="1"/>
    <w:qFormat/>
    <w:uiPriority w:val="0"/>
    <w:pPr>
      <w:spacing w:line="360" w:lineRule="auto"/>
      <w:ind w:firstLine="0" w:firstLineChars="0"/>
      <w:jc w:val="center"/>
    </w:pPr>
    <w:rPr>
      <w:rFonts w:eastAsia="宋体"/>
      <w:b/>
      <w:bCs/>
      <w:sz w:val="44"/>
      <w:szCs w:val="44"/>
    </w:rPr>
  </w:style>
  <w:style w:type="paragraph" w:customStyle="1" w:styleId="26">
    <w:name w:val="提供"/>
    <w:basedOn w:val="1"/>
    <w:qFormat/>
    <w:uiPriority w:val="0"/>
    <w:pPr>
      <w:ind w:firstLine="0" w:firstLineChars="0"/>
      <w:jc w:val="center"/>
    </w:pPr>
  </w:style>
  <w:style w:type="paragraph" w:customStyle="1" w:styleId="27">
    <w:name w:val="版权所有"/>
    <w:basedOn w:val="1"/>
    <w:qFormat/>
    <w:uiPriority w:val="0"/>
    <w:pPr>
      <w:ind w:firstLine="0" w:firstLineChars="0"/>
      <w:jc w:val="center"/>
    </w:pPr>
  </w:style>
  <w:style w:type="paragraph" w:customStyle="1" w:styleId="28">
    <w:name w:val="电话15515993457"/>
    <w:basedOn w:val="1"/>
    <w:qFormat/>
    <w:uiPriority w:val="0"/>
    <w:pPr>
      <w:ind w:firstLine="0" w:firstLineChars="0"/>
      <w:jc w:val="center"/>
    </w:pPr>
  </w:style>
  <w:style w:type="character" w:customStyle="1" w:styleId="29">
    <w:name w:val="font71"/>
    <w:basedOn w:val="15"/>
    <w:qFormat/>
    <w:uiPriority w:val="0"/>
    <w:rPr>
      <w:rFonts w:hint="eastAsia" w:ascii="宋体" w:hAnsi="宋体" w:eastAsia="宋体" w:cs="宋体"/>
      <w:color w:val="000000"/>
      <w:sz w:val="18"/>
      <w:szCs w:val="18"/>
      <w:u w:val="none"/>
    </w:rPr>
  </w:style>
  <w:style w:type="character" w:customStyle="1" w:styleId="30">
    <w:name w:val="font3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15</Pages>
  <Words>6033</Words>
  <Characters>6370</Characters>
  <Lines>42</Lines>
  <Paragraphs>11</Paragraphs>
  <TotalTime>0</TotalTime>
  <ScaleCrop>false</ScaleCrop>
  <LinksUpToDate>false</LinksUpToDate>
  <CharactersWithSpaces>6425</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2022-06-07T03:31:33Z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8040E5319DF8438F9AF461AC7598704D</vt:lpwstr>
  </property>
</Properties>
</file>