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pPr>
      <w:bookmarkStart w:id="0" w:name="_Toc11908"/>
    </w:p>
    <w:p>
      <w:pPr>
        <w:ind w:firstLine="0" w:firstLineChars="0"/>
        <w:jc w:val="center"/>
        <w:rPr>
          <w:rFonts w:ascii="宋体" w:hAnsi="宋体" w:eastAsia="宋体"/>
          <w:b/>
          <w:sz w:val="52"/>
          <w:szCs w:val="52"/>
        </w:rPr>
      </w:pPr>
    </w:p>
    <w:p>
      <w:pPr>
        <w:pStyle w:val="25"/>
        <w:rPr>
          <w:rFonts w:hint="eastAsia" w:ascii="宋体" w:hAnsi="宋体" w:cs="宋体"/>
          <w:sz w:val="52"/>
          <w:szCs w:val="52"/>
        </w:rPr>
      </w:pPr>
      <w:r>
        <w:rPr>
          <w:rFonts w:hint="eastAsia" w:ascii="宋体" w:hAnsi="宋体" w:cs="宋体"/>
          <w:sz w:val="52"/>
          <w:szCs w:val="52"/>
        </w:rPr>
        <w:t>外事侨务活动经费（侨办）</w:t>
      </w:r>
    </w:p>
    <w:p>
      <w:pPr>
        <w:pStyle w:val="25"/>
        <w:rPr>
          <w:rFonts w:ascii="宋体" w:hAnsi="宋体" w:cs="宋体"/>
        </w:rPr>
      </w:pPr>
      <w:r>
        <w:rPr>
          <w:rFonts w:hint="eastAsia" w:ascii="宋体" w:hAnsi="宋体" w:cs="宋体"/>
          <w:sz w:val="52"/>
          <w:szCs w:val="52"/>
        </w:rPr>
        <w:t>项目支出绩效自评报告</w:t>
      </w:r>
    </w:p>
    <w:p>
      <w:pPr>
        <w:ind w:firstLine="0" w:firstLineChars="0"/>
        <w:jc w:val="center"/>
        <w:rPr>
          <w:rFonts w:ascii="宋体" w:hAnsi="宋体" w:eastAsia="宋体"/>
          <w:b/>
          <w:sz w:val="52"/>
          <w:szCs w:val="52"/>
        </w:rPr>
      </w:pPr>
    </w:p>
    <w:p>
      <w:pPr>
        <w:ind w:firstLine="0" w:firstLineChars="0"/>
        <w:jc w:val="center"/>
      </w:pPr>
    </w:p>
    <w:p>
      <w:pPr>
        <w:ind w:firstLine="0" w:firstLineChars="0"/>
        <w:jc w:val="center"/>
        <w:rPr>
          <w:rFonts w:ascii="宋体" w:hAnsi="宋体" w:eastAsia="宋体"/>
          <w:b/>
          <w:sz w:val="52"/>
          <w:szCs w:val="52"/>
        </w:rPr>
      </w:pPr>
    </w:p>
    <w:p>
      <w:pPr>
        <w:pStyle w:val="27"/>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52"/>
          <w:szCs w:val="52"/>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sz w:val="36"/>
          <w:szCs w:val="36"/>
        </w:rPr>
      </w:pPr>
    </w:p>
    <w:p>
      <w:pPr>
        <w:ind w:firstLine="0" w:firstLineChars="0"/>
        <w:jc w:val="center"/>
        <w:rPr>
          <w:rFonts w:ascii="宋体" w:hAnsi="宋体" w:eastAsia="宋体"/>
          <w:b/>
          <w:sz w:val="36"/>
          <w:szCs w:val="36"/>
          <w:highlight w:val="none"/>
        </w:rPr>
      </w:pPr>
    </w:p>
    <w:p>
      <w:pPr>
        <w:ind w:firstLine="0" w:firstLineChars="0"/>
        <w:jc w:val="center"/>
        <w:rPr>
          <w:rFonts w:hint="eastAsia" w:ascii="宋体" w:hAnsi="宋体" w:eastAsia="宋体"/>
          <w:b/>
          <w:highlight w:val="none"/>
        </w:rPr>
      </w:pPr>
      <w:r>
        <w:rPr>
          <w:rFonts w:hint="eastAsia" w:ascii="宋体" w:hAnsi="宋体" w:eastAsia="宋体"/>
          <w:b/>
          <w:highlight w:val="none"/>
        </w:rPr>
        <w:t>自评单位：中共三门峡市委统一战线工作部</w:t>
      </w:r>
    </w:p>
    <w:p>
      <w:pPr>
        <w:ind w:firstLine="0" w:firstLineChars="0"/>
        <w:jc w:val="center"/>
        <w:rPr>
          <w:rFonts w:ascii="宋体" w:hAnsi="宋体" w:eastAsia="宋体"/>
          <w:b/>
          <w:highlight w:val="yellow"/>
        </w:rPr>
      </w:pPr>
      <w:r>
        <w:rPr>
          <w:rFonts w:hint="eastAsia" w:ascii="宋体" w:hAnsi="宋体" w:eastAsia="宋体"/>
          <w:b/>
          <w:highlight w:val="none"/>
        </w:rPr>
        <w:t>日    期：2022年</w:t>
      </w:r>
      <w:bookmarkStart w:id="72" w:name="_GoBack"/>
      <w:bookmarkEnd w:id="72"/>
      <w:r>
        <w:rPr>
          <w:rFonts w:hint="eastAsia" w:ascii="宋体" w:hAnsi="宋体" w:eastAsia="宋体"/>
          <w:b/>
          <w:highlight w:val="none"/>
        </w:rPr>
        <w:t>5月6日</w:t>
      </w:r>
    </w:p>
    <w:p>
      <w:pPr>
        <w:pStyle w:val="11"/>
        <w:rPr>
          <w:highlight w:val="yellow"/>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ind w:firstLine="0" w:firstLineChars="0"/>
        <w:jc w:val="center"/>
        <w:rPr>
          <w:b/>
          <w:bCs/>
          <w:highlight w:val="none"/>
        </w:rPr>
      </w:pPr>
      <w:r>
        <w:rPr>
          <w:rFonts w:hint="eastAsia"/>
          <w:b/>
          <w:bCs/>
          <w:sz w:val="36"/>
          <w:szCs w:val="36"/>
          <w:highlight w:val="none"/>
        </w:rPr>
        <w:t>目</w:t>
      </w:r>
      <w:r>
        <w:rPr>
          <w:b/>
          <w:bCs/>
          <w:sz w:val="36"/>
          <w:szCs w:val="36"/>
          <w:highlight w:val="none"/>
        </w:rPr>
        <w:t xml:space="preserve"> </w:t>
      </w:r>
      <w:r>
        <w:rPr>
          <w:rFonts w:hint="eastAsia"/>
          <w:b/>
          <w:bCs/>
          <w:sz w:val="36"/>
          <w:szCs w:val="36"/>
          <w:highlight w:val="none"/>
        </w:rPr>
        <w:t xml:space="preserve"> 录</w:t>
      </w:r>
    </w:p>
    <w:p>
      <w:pPr>
        <w:pStyle w:val="11"/>
        <w:tabs>
          <w:tab w:val="right" w:leader="dot" w:pos="8306"/>
          <w:tab w:val="clear" w:pos="8296"/>
        </w:tabs>
      </w:pPr>
      <w:r>
        <w:fldChar w:fldCharType="begin"/>
      </w:r>
      <w:r>
        <w:instrText xml:space="preserve">TOC \o "1-2" \h \u </w:instrText>
      </w:r>
      <w:r>
        <w:fldChar w:fldCharType="separate"/>
      </w:r>
      <w:r>
        <w:fldChar w:fldCharType="begin"/>
      </w:r>
      <w:r>
        <w:instrText xml:space="preserve"> HYPERLINK \l _Toc20154 </w:instrText>
      </w:r>
      <w:r>
        <w:fldChar w:fldCharType="separate"/>
      </w:r>
      <w:r>
        <w:rPr>
          <w:rFonts w:hint="eastAsia"/>
        </w:rPr>
        <w:t>一、项目基本情况</w:t>
      </w:r>
      <w:r>
        <w:tab/>
      </w:r>
      <w:r>
        <w:fldChar w:fldCharType="begin"/>
      </w:r>
      <w:r>
        <w:instrText xml:space="preserve"> PAGEREF _Toc20154 \h </w:instrText>
      </w:r>
      <w:r>
        <w:fldChar w:fldCharType="separate"/>
      </w:r>
      <w:r>
        <w:t>1</w:t>
      </w:r>
      <w:r>
        <w:fldChar w:fldCharType="end"/>
      </w:r>
      <w:r>
        <w:fldChar w:fldCharType="end"/>
      </w:r>
    </w:p>
    <w:p>
      <w:pPr>
        <w:pStyle w:val="12"/>
        <w:tabs>
          <w:tab w:val="right" w:leader="dot" w:pos="8306"/>
        </w:tabs>
      </w:pPr>
      <w:r>
        <w:fldChar w:fldCharType="begin"/>
      </w:r>
      <w:r>
        <w:instrText xml:space="preserve"> HYPERLINK \l _Toc17362 </w:instrText>
      </w:r>
      <w:r>
        <w:fldChar w:fldCharType="separate"/>
      </w:r>
      <w:r>
        <w:rPr>
          <w:rFonts w:hint="eastAsia"/>
        </w:rPr>
        <w:t>（一）项目基本信息</w:t>
      </w:r>
      <w:r>
        <w:tab/>
      </w:r>
      <w:r>
        <w:fldChar w:fldCharType="begin"/>
      </w:r>
      <w:r>
        <w:instrText xml:space="preserve"> PAGEREF _Toc17362 \h </w:instrText>
      </w:r>
      <w:r>
        <w:fldChar w:fldCharType="separate"/>
      </w:r>
      <w:r>
        <w:t>1</w:t>
      </w:r>
      <w:r>
        <w:fldChar w:fldCharType="end"/>
      </w:r>
      <w:r>
        <w:fldChar w:fldCharType="end"/>
      </w:r>
    </w:p>
    <w:p>
      <w:pPr>
        <w:pStyle w:val="12"/>
        <w:tabs>
          <w:tab w:val="right" w:leader="dot" w:pos="8306"/>
        </w:tabs>
      </w:pPr>
      <w:r>
        <w:fldChar w:fldCharType="begin"/>
      </w:r>
      <w:r>
        <w:instrText xml:space="preserve"> HYPERLINK \l _Toc5169 </w:instrText>
      </w:r>
      <w:r>
        <w:fldChar w:fldCharType="separate"/>
      </w:r>
      <w:r>
        <w:rPr>
          <w:rFonts w:hint="eastAsia"/>
        </w:rPr>
        <w:t>（二）项目支出情况</w:t>
      </w:r>
      <w:r>
        <w:tab/>
      </w:r>
      <w:r>
        <w:fldChar w:fldCharType="begin"/>
      </w:r>
      <w:r>
        <w:instrText xml:space="preserve"> PAGEREF _Toc5169 \h </w:instrText>
      </w:r>
      <w:r>
        <w:fldChar w:fldCharType="separate"/>
      </w:r>
      <w:r>
        <w:t>1</w:t>
      </w:r>
      <w:r>
        <w:fldChar w:fldCharType="end"/>
      </w:r>
      <w:r>
        <w:fldChar w:fldCharType="end"/>
      </w:r>
    </w:p>
    <w:p>
      <w:pPr>
        <w:pStyle w:val="11"/>
        <w:tabs>
          <w:tab w:val="right" w:leader="dot" w:pos="8306"/>
          <w:tab w:val="clear" w:pos="8296"/>
        </w:tabs>
      </w:pPr>
      <w:r>
        <w:fldChar w:fldCharType="begin"/>
      </w:r>
      <w:r>
        <w:instrText xml:space="preserve"> HYPERLINK \l _Toc15312 </w:instrText>
      </w:r>
      <w:r>
        <w:fldChar w:fldCharType="separate"/>
      </w:r>
      <w:r>
        <w:rPr>
          <w:rFonts w:hint="eastAsia"/>
        </w:rPr>
        <w:t>二、绩效自评工作开展情况</w:t>
      </w:r>
      <w:r>
        <w:tab/>
      </w:r>
      <w:r>
        <w:fldChar w:fldCharType="begin"/>
      </w:r>
      <w:r>
        <w:instrText xml:space="preserve"> PAGEREF _Toc15312 \h </w:instrText>
      </w:r>
      <w:r>
        <w:fldChar w:fldCharType="separate"/>
      </w:r>
      <w:r>
        <w:t>1</w:t>
      </w:r>
      <w:r>
        <w:fldChar w:fldCharType="end"/>
      </w:r>
      <w:r>
        <w:fldChar w:fldCharType="end"/>
      </w:r>
    </w:p>
    <w:p>
      <w:pPr>
        <w:pStyle w:val="12"/>
        <w:tabs>
          <w:tab w:val="right" w:leader="dot" w:pos="8306"/>
        </w:tabs>
      </w:pPr>
      <w:r>
        <w:fldChar w:fldCharType="begin"/>
      </w:r>
      <w:r>
        <w:instrText xml:space="preserve"> HYPERLINK \l _Toc17324 </w:instrText>
      </w:r>
      <w:r>
        <w:fldChar w:fldCharType="separate"/>
      </w:r>
      <w:r>
        <w:rPr>
          <w:rFonts w:hint="eastAsia"/>
        </w:rPr>
        <w:t>（一）绩效自评价目的和意义</w:t>
      </w:r>
      <w:r>
        <w:tab/>
      </w:r>
      <w:r>
        <w:fldChar w:fldCharType="begin"/>
      </w:r>
      <w:r>
        <w:instrText xml:space="preserve"> PAGEREF _Toc17324 \h </w:instrText>
      </w:r>
      <w:r>
        <w:fldChar w:fldCharType="separate"/>
      </w:r>
      <w:r>
        <w:t>1</w:t>
      </w:r>
      <w:r>
        <w:fldChar w:fldCharType="end"/>
      </w:r>
      <w:r>
        <w:fldChar w:fldCharType="end"/>
      </w:r>
    </w:p>
    <w:p>
      <w:pPr>
        <w:pStyle w:val="12"/>
        <w:tabs>
          <w:tab w:val="right" w:leader="dot" w:pos="8306"/>
        </w:tabs>
      </w:pPr>
      <w:r>
        <w:fldChar w:fldCharType="begin"/>
      </w:r>
      <w:r>
        <w:instrText xml:space="preserve"> HYPERLINK \l _Toc5408 </w:instrText>
      </w:r>
      <w:r>
        <w:fldChar w:fldCharType="separate"/>
      </w:r>
      <w:r>
        <w:rPr>
          <w:rFonts w:hint="eastAsia"/>
        </w:rPr>
        <w:t>（二）绩效自评价对象和范围</w:t>
      </w:r>
      <w:r>
        <w:tab/>
      </w:r>
      <w:r>
        <w:fldChar w:fldCharType="begin"/>
      </w:r>
      <w:r>
        <w:instrText xml:space="preserve"> PAGEREF _Toc5408 \h </w:instrText>
      </w:r>
      <w:r>
        <w:fldChar w:fldCharType="separate"/>
      </w:r>
      <w:r>
        <w:t>2</w:t>
      </w:r>
      <w:r>
        <w:fldChar w:fldCharType="end"/>
      </w:r>
      <w:r>
        <w:fldChar w:fldCharType="end"/>
      </w:r>
    </w:p>
    <w:p>
      <w:pPr>
        <w:pStyle w:val="12"/>
        <w:tabs>
          <w:tab w:val="right" w:leader="dot" w:pos="8306"/>
        </w:tabs>
      </w:pPr>
      <w:r>
        <w:fldChar w:fldCharType="begin"/>
      </w:r>
      <w:r>
        <w:instrText xml:space="preserve"> HYPERLINK \l _Toc30233 </w:instrText>
      </w:r>
      <w:r>
        <w:fldChar w:fldCharType="separate"/>
      </w:r>
      <w:r>
        <w:rPr>
          <w:rFonts w:hint="eastAsia"/>
        </w:rPr>
        <w:t>（三）绩效评价的依据</w:t>
      </w:r>
      <w:r>
        <w:tab/>
      </w:r>
      <w:r>
        <w:fldChar w:fldCharType="begin"/>
      </w:r>
      <w:r>
        <w:instrText xml:space="preserve"> PAGEREF _Toc30233 \h </w:instrText>
      </w:r>
      <w:r>
        <w:fldChar w:fldCharType="separate"/>
      </w:r>
      <w:r>
        <w:t>2</w:t>
      </w:r>
      <w:r>
        <w:fldChar w:fldCharType="end"/>
      </w:r>
      <w:r>
        <w:fldChar w:fldCharType="end"/>
      </w:r>
    </w:p>
    <w:p>
      <w:pPr>
        <w:pStyle w:val="12"/>
        <w:tabs>
          <w:tab w:val="right" w:leader="dot" w:pos="8306"/>
        </w:tabs>
      </w:pPr>
      <w:r>
        <w:fldChar w:fldCharType="begin"/>
      </w:r>
      <w:r>
        <w:instrText xml:space="preserve"> HYPERLINK \l _Toc25058 </w:instrText>
      </w:r>
      <w:r>
        <w:fldChar w:fldCharType="separate"/>
      </w:r>
      <w:r>
        <w:rPr>
          <w:rFonts w:hint="eastAsia"/>
        </w:rPr>
        <w:t>（四）评分方法</w:t>
      </w:r>
      <w:r>
        <w:tab/>
      </w:r>
      <w:r>
        <w:fldChar w:fldCharType="begin"/>
      </w:r>
      <w:r>
        <w:instrText xml:space="preserve"> PAGEREF _Toc25058 \h </w:instrText>
      </w:r>
      <w:r>
        <w:fldChar w:fldCharType="separate"/>
      </w:r>
      <w:r>
        <w:t>3</w:t>
      </w:r>
      <w:r>
        <w:fldChar w:fldCharType="end"/>
      </w:r>
      <w:r>
        <w:fldChar w:fldCharType="end"/>
      </w:r>
    </w:p>
    <w:p>
      <w:pPr>
        <w:pStyle w:val="12"/>
        <w:tabs>
          <w:tab w:val="right" w:leader="dot" w:pos="8306"/>
        </w:tabs>
      </w:pPr>
      <w:r>
        <w:fldChar w:fldCharType="begin"/>
      </w:r>
      <w:r>
        <w:instrText xml:space="preserve"> HYPERLINK \l _Toc1628 </w:instrText>
      </w:r>
      <w:r>
        <w:fldChar w:fldCharType="separate"/>
      </w:r>
      <w:r>
        <w:rPr>
          <w:rFonts w:hint="eastAsia"/>
        </w:rPr>
        <w:t>（五）绩效自评工作组织</w:t>
      </w:r>
      <w:r>
        <w:tab/>
      </w:r>
      <w:r>
        <w:fldChar w:fldCharType="begin"/>
      </w:r>
      <w:r>
        <w:instrText xml:space="preserve"> PAGEREF _Toc1628 \h </w:instrText>
      </w:r>
      <w:r>
        <w:fldChar w:fldCharType="separate"/>
      </w:r>
      <w:r>
        <w:t>4</w:t>
      </w:r>
      <w:r>
        <w:fldChar w:fldCharType="end"/>
      </w:r>
      <w:r>
        <w:fldChar w:fldCharType="end"/>
      </w:r>
    </w:p>
    <w:p>
      <w:pPr>
        <w:pStyle w:val="11"/>
        <w:tabs>
          <w:tab w:val="right" w:leader="dot" w:pos="8306"/>
          <w:tab w:val="clear" w:pos="8296"/>
        </w:tabs>
      </w:pPr>
      <w:r>
        <w:fldChar w:fldCharType="begin"/>
      </w:r>
      <w:r>
        <w:instrText xml:space="preserve"> HYPERLINK \l _Toc26019 </w:instrText>
      </w:r>
      <w:r>
        <w:fldChar w:fldCharType="separate"/>
      </w:r>
      <w:r>
        <w:rPr>
          <w:rFonts w:hint="eastAsia"/>
        </w:rPr>
        <w:t>三、绩效自评结果及分析</w:t>
      </w:r>
      <w:r>
        <w:tab/>
      </w:r>
      <w:r>
        <w:fldChar w:fldCharType="begin"/>
      </w:r>
      <w:r>
        <w:instrText xml:space="preserve"> PAGEREF _Toc26019 \h </w:instrText>
      </w:r>
      <w:r>
        <w:fldChar w:fldCharType="separate"/>
      </w:r>
      <w:r>
        <w:t>4</w:t>
      </w:r>
      <w:r>
        <w:fldChar w:fldCharType="end"/>
      </w:r>
      <w:r>
        <w:fldChar w:fldCharType="end"/>
      </w:r>
    </w:p>
    <w:p>
      <w:pPr>
        <w:pStyle w:val="12"/>
        <w:tabs>
          <w:tab w:val="right" w:leader="dot" w:pos="8306"/>
        </w:tabs>
      </w:pPr>
      <w:r>
        <w:fldChar w:fldCharType="begin"/>
      </w:r>
      <w:r>
        <w:instrText xml:space="preserve"> HYPERLINK \l _Toc5402 </w:instrText>
      </w:r>
      <w:r>
        <w:fldChar w:fldCharType="separate"/>
      </w:r>
      <w:r>
        <w:t>（一）绩效自评价结果</w:t>
      </w:r>
      <w:r>
        <w:tab/>
      </w:r>
      <w:r>
        <w:fldChar w:fldCharType="begin"/>
      </w:r>
      <w:r>
        <w:instrText xml:space="preserve"> PAGEREF _Toc5402 \h </w:instrText>
      </w:r>
      <w:r>
        <w:fldChar w:fldCharType="separate"/>
      </w:r>
      <w:r>
        <w:t>4</w:t>
      </w:r>
      <w:r>
        <w:fldChar w:fldCharType="end"/>
      </w:r>
      <w:r>
        <w:fldChar w:fldCharType="end"/>
      </w:r>
    </w:p>
    <w:p>
      <w:pPr>
        <w:pStyle w:val="12"/>
        <w:tabs>
          <w:tab w:val="right" w:leader="dot" w:pos="8306"/>
        </w:tabs>
      </w:pPr>
      <w:r>
        <w:fldChar w:fldCharType="begin"/>
      </w:r>
      <w:r>
        <w:instrText xml:space="preserve"> HYPERLINK \l _Toc17534 </w:instrText>
      </w:r>
      <w:r>
        <w:fldChar w:fldCharType="separate"/>
      </w:r>
      <w:r>
        <w:rPr>
          <w:rFonts w:hint="eastAsia"/>
          <w:highlight w:val="none"/>
        </w:rPr>
        <w:t>（二）自评指标分析</w:t>
      </w:r>
      <w:r>
        <w:tab/>
      </w:r>
      <w:r>
        <w:fldChar w:fldCharType="begin"/>
      </w:r>
      <w:r>
        <w:instrText xml:space="preserve"> PAGEREF _Toc17534 \h </w:instrText>
      </w:r>
      <w:r>
        <w:fldChar w:fldCharType="separate"/>
      </w:r>
      <w:r>
        <w:t>6</w:t>
      </w:r>
      <w:r>
        <w:fldChar w:fldCharType="end"/>
      </w:r>
      <w:r>
        <w:fldChar w:fldCharType="end"/>
      </w:r>
    </w:p>
    <w:p>
      <w:pPr>
        <w:pStyle w:val="11"/>
        <w:tabs>
          <w:tab w:val="right" w:leader="dot" w:pos="8306"/>
          <w:tab w:val="clear" w:pos="8296"/>
        </w:tabs>
      </w:pPr>
      <w:r>
        <w:fldChar w:fldCharType="begin"/>
      </w:r>
      <w:r>
        <w:instrText xml:space="preserve"> HYPERLINK \l _Toc19437 </w:instrText>
      </w:r>
      <w:r>
        <w:fldChar w:fldCharType="separate"/>
      </w:r>
      <w:r>
        <w:rPr>
          <w:rFonts w:hint="eastAsia"/>
        </w:rPr>
        <w:t>四、成果和问题</w:t>
      </w:r>
      <w:r>
        <w:tab/>
      </w:r>
      <w:r>
        <w:fldChar w:fldCharType="begin"/>
      </w:r>
      <w:r>
        <w:instrText xml:space="preserve"> PAGEREF _Toc19437 \h </w:instrText>
      </w:r>
      <w:r>
        <w:fldChar w:fldCharType="separate"/>
      </w:r>
      <w:r>
        <w:t>10</w:t>
      </w:r>
      <w:r>
        <w:fldChar w:fldCharType="end"/>
      </w:r>
      <w:r>
        <w:fldChar w:fldCharType="end"/>
      </w:r>
    </w:p>
    <w:p>
      <w:pPr>
        <w:pStyle w:val="12"/>
        <w:tabs>
          <w:tab w:val="right" w:leader="dot" w:pos="8306"/>
        </w:tabs>
      </w:pPr>
      <w:r>
        <w:fldChar w:fldCharType="begin"/>
      </w:r>
      <w:r>
        <w:instrText xml:space="preserve"> HYPERLINK \l _Toc18429 </w:instrText>
      </w:r>
      <w:r>
        <w:fldChar w:fldCharType="separate"/>
      </w:r>
      <w:r>
        <w:rPr>
          <w:rFonts w:hint="eastAsia"/>
        </w:rPr>
        <w:t>（一）项目实施的成果</w:t>
      </w:r>
      <w:r>
        <w:tab/>
      </w:r>
      <w:r>
        <w:fldChar w:fldCharType="begin"/>
      </w:r>
      <w:r>
        <w:instrText xml:space="preserve"> PAGEREF _Toc18429 \h </w:instrText>
      </w:r>
      <w:r>
        <w:fldChar w:fldCharType="separate"/>
      </w:r>
      <w:r>
        <w:t>10</w:t>
      </w:r>
      <w:r>
        <w:fldChar w:fldCharType="end"/>
      </w:r>
      <w:r>
        <w:fldChar w:fldCharType="end"/>
      </w:r>
    </w:p>
    <w:p>
      <w:pPr>
        <w:pStyle w:val="12"/>
        <w:tabs>
          <w:tab w:val="right" w:leader="dot" w:pos="8306"/>
        </w:tabs>
      </w:pPr>
      <w:r>
        <w:fldChar w:fldCharType="begin"/>
      </w:r>
      <w:r>
        <w:instrText xml:space="preserve"> HYPERLINK \l _Toc25379 </w:instrText>
      </w:r>
      <w:r>
        <w:fldChar w:fldCharType="separate"/>
      </w:r>
      <w:r>
        <w:rPr>
          <w:rFonts w:hint="eastAsia"/>
          <w:highlight w:val="none"/>
        </w:rPr>
        <w:t>（二）项目存在</w:t>
      </w:r>
      <w:r>
        <w:rPr>
          <w:rFonts w:hint="eastAsia"/>
        </w:rPr>
        <w:t>的问题</w:t>
      </w:r>
      <w:r>
        <w:tab/>
      </w:r>
      <w:r>
        <w:fldChar w:fldCharType="begin"/>
      </w:r>
      <w:r>
        <w:instrText xml:space="preserve"> PAGEREF _Toc25379 \h </w:instrText>
      </w:r>
      <w:r>
        <w:fldChar w:fldCharType="separate"/>
      </w:r>
      <w:r>
        <w:t>10</w:t>
      </w:r>
      <w:r>
        <w:fldChar w:fldCharType="end"/>
      </w:r>
      <w:r>
        <w:fldChar w:fldCharType="end"/>
      </w:r>
    </w:p>
    <w:p>
      <w:pPr>
        <w:pStyle w:val="11"/>
        <w:tabs>
          <w:tab w:val="right" w:leader="dot" w:pos="8306"/>
          <w:tab w:val="clear" w:pos="8296"/>
        </w:tabs>
      </w:pPr>
      <w:r>
        <w:fldChar w:fldCharType="begin"/>
      </w:r>
      <w:r>
        <w:instrText xml:space="preserve"> HYPERLINK \l _Toc20582 </w:instrText>
      </w:r>
      <w:r>
        <w:fldChar w:fldCharType="separate"/>
      </w:r>
      <w:r>
        <w:rPr>
          <w:rFonts w:hint="eastAsia"/>
          <w:highlight w:val="none"/>
        </w:rPr>
        <w:t>五、建议</w:t>
      </w:r>
      <w:r>
        <w:tab/>
      </w:r>
      <w:r>
        <w:fldChar w:fldCharType="begin"/>
      </w:r>
      <w:r>
        <w:instrText xml:space="preserve"> PAGEREF _Toc20582 \h </w:instrText>
      </w:r>
      <w:r>
        <w:fldChar w:fldCharType="separate"/>
      </w:r>
      <w:r>
        <w:t>10</w:t>
      </w:r>
      <w:r>
        <w:fldChar w:fldCharType="end"/>
      </w:r>
      <w:r>
        <w:fldChar w:fldCharType="end"/>
      </w:r>
    </w:p>
    <w:p>
      <w:pPr>
        <w:pStyle w:val="12"/>
        <w:tabs>
          <w:tab w:val="right" w:leader="dot" w:pos="8306"/>
        </w:tabs>
      </w:pPr>
      <w:r>
        <w:fldChar w:fldCharType="begin"/>
      </w:r>
      <w:r>
        <w:instrText xml:space="preserve"> HYPERLINK \l _Toc18028 </w:instrText>
      </w:r>
      <w:r>
        <w:fldChar w:fldCharType="separate"/>
      </w:r>
      <w:r>
        <w:rPr>
          <w:rFonts w:hint="eastAsia"/>
          <w:highlight w:val="none"/>
        </w:rPr>
        <w:t>（一）强化预算绩效管理意识，提升项目产出效益</w:t>
      </w:r>
      <w:r>
        <w:tab/>
      </w:r>
      <w:r>
        <w:fldChar w:fldCharType="begin"/>
      </w:r>
      <w:r>
        <w:instrText xml:space="preserve"> PAGEREF _Toc18028 \h </w:instrText>
      </w:r>
      <w:r>
        <w:fldChar w:fldCharType="separate"/>
      </w:r>
      <w:r>
        <w:t>10</w:t>
      </w:r>
      <w:r>
        <w:fldChar w:fldCharType="end"/>
      </w:r>
      <w:r>
        <w:fldChar w:fldCharType="end"/>
      </w:r>
    </w:p>
    <w:p>
      <w:pPr>
        <w:pStyle w:val="12"/>
        <w:tabs>
          <w:tab w:val="right" w:leader="dot" w:pos="8306"/>
        </w:tabs>
      </w:pPr>
      <w:r>
        <w:fldChar w:fldCharType="begin"/>
      </w:r>
      <w:r>
        <w:instrText xml:space="preserve"> HYPERLINK \l _Toc32028 </w:instrText>
      </w:r>
      <w:r>
        <w:fldChar w:fldCharType="separate"/>
      </w:r>
      <w:r>
        <w:rPr>
          <w:rFonts w:hint="eastAsia"/>
          <w:highlight w:val="none"/>
        </w:rPr>
        <w:t>（二）加强学习培训，进一步提高绩效管理水平</w:t>
      </w:r>
      <w:r>
        <w:tab/>
      </w:r>
      <w:r>
        <w:fldChar w:fldCharType="begin"/>
      </w:r>
      <w:r>
        <w:instrText xml:space="preserve"> PAGEREF _Toc32028 \h </w:instrText>
      </w:r>
      <w:r>
        <w:fldChar w:fldCharType="separate"/>
      </w:r>
      <w:r>
        <w:t>11</w:t>
      </w:r>
      <w:r>
        <w:fldChar w:fldCharType="end"/>
      </w:r>
      <w:r>
        <w:fldChar w:fldCharType="end"/>
      </w:r>
    </w:p>
    <w:p>
      <w:pPr>
        <w:pStyle w:val="11"/>
        <w:tabs>
          <w:tab w:val="right" w:leader="dot" w:pos="8306"/>
          <w:tab w:val="clear" w:pos="8296"/>
        </w:tabs>
      </w:pPr>
      <w:r>
        <w:fldChar w:fldCharType="begin"/>
      </w:r>
      <w:r>
        <w:instrText xml:space="preserve"> HYPERLINK \l _Toc22579 </w:instrText>
      </w:r>
      <w:r>
        <w:fldChar w:fldCharType="separate"/>
      </w:r>
      <w:r>
        <w:rPr>
          <w:rFonts w:hint="eastAsia"/>
          <w:highlight w:val="none"/>
        </w:rPr>
        <w:t>六、其他需要说明的问题</w:t>
      </w:r>
      <w:r>
        <w:tab/>
      </w:r>
      <w:r>
        <w:fldChar w:fldCharType="begin"/>
      </w:r>
      <w:r>
        <w:instrText xml:space="preserve"> PAGEREF _Toc22579 \h </w:instrText>
      </w:r>
      <w:r>
        <w:fldChar w:fldCharType="separate"/>
      </w:r>
      <w:r>
        <w:t>11</w:t>
      </w:r>
      <w:r>
        <w:fldChar w:fldCharType="end"/>
      </w:r>
      <w:r>
        <w:fldChar w:fldCharType="end"/>
      </w:r>
    </w:p>
    <w:p>
      <w:pPr>
        <w:pStyle w:val="11"/>
        <w:tabs>
          <w:tab w:val="right" w:leader="dot" w:pos="8306"/>
          <w:tab w:val="clear" w:pos="8296"/>
        </w:tabs>
      </w:pPr>
      <w:r>
        <w:fldChar w:fldCharType="begin"/>
      </w:r>
      <w:r>
        <w:instrText xml:space="preserve"> HYPERLINK \l _Toc11566 </w:instrText>
      </w:r>
      <w:r>
        <w:fldChar w:fldCharType="separate"/>
      </w:r>
      <w:r>
        <w:rPr>
          <w:rFonts w:hint="eastAsia"/>
          <w:highlight w:val="none"/>
        </w:rPr>
        <w:t>七、附件</w:t>
      </w:r>
      <w:r>
        <w:tab/>
      </w:r>
      <w:r>
        <w:fldChar w:fldCharType="begin"/>
      </w:r>
      <w:r>
        <w:instrText xml:space="preserve"> PAGEREF _Toc11566 \h </w:instrText>
      </w:r>
      <w:r>
        <w:fldChar w:fldCharType="separate"/>
      </w:r>
      <w:r>
        <w:t>11</w:t>
      </w:r>
      <w:r>
        <w:fldChar w:fldCharType="end"/>
      </w:r>
      <w:r>
        <w:fldChar w:fldCharType="end"/>
      </w:r>
    </w:p>
    <w:p>
      <w:pPr>
        <w:ind w:firstLine="640"/>
        <w:sectPr>
          <w:footerReference r:id="rId5" w:type="default"/>
          <w:pgSz w:w="11906" w:h="16838"/>
          <w:pgMar w:top="1440" w:right="1800" w:bottom="1440" w:left="1800" w:header="851" w:footer="737" w:gutter="0"/>
          <w:pgBorders>
            <w:top w:val="none" w:sz="0" w:space="0"/>
            <w:left w:val="none" w:sz="0" w:space="0"/>
            <w:bottom w:val="none" w:sz="0" w:space="0"/>
            <w:right w:val="none" w:sz="0" w:space="0"/>
          </w:pgBorders>
          <w:pgNumType w:fmt="upperRoman" w:start="1"/>
          <w:cols w:space="425" w:num="1"/>
          <w:docGrid w:type="lines" w:linePitch="312" w:charSpace="0"/>
        </w:sectPr>
      </w:pPr>
      <w:r>
        <w:fldChar w:fldCharType="end"/>
      </w:r>
    </w:p>
    <w:p>
      <w:pPr>
        <w:pStyle w:val="3"/>
      </w:pPr>
      <w:bookmarkStart w:id="1" w:name="_Toc20154"/>
      <w:bookmarkStart w:id="2" w:name="_Toc79333430"/>
      <w:r>
        <w:rPr>
          <w:rFonts w:hint="eastAsia"/>
        </w:rPr>
        <w:t>一、项目基本情况</w:t>
      </w:r>
      <w:bookmarkEnd w:id="0"/>
      <w:bookmarkEnd w:id="1"/>
      <w:bookmarkEnd w:id="2"/>
    </w:p>
    <w:p>
      <w:pPr>
        <w:pStyle w:val="4"/>
      </w:pPr>
      <w:bookmarkStart w:id="3" w:name="_Toc8110"/>
      <w:bookmarkStart w:id="4" w:name="_Toc17362"/>
      <w:bookmarkStart w:id="5" w:name="_Toc79333431"/>
      <w:r>
        <w:rPr>
          <w:rFonts w:hint="eastAsia"/>
        </w:rPr>
        <w:t>（一）项目基本信息</w:t>
      </w:r>
      <w:bookmarkEnd w:id="3"/>
      <w:bookmarkEnd w:id="4"/>
      <w:bookmarkEnd w:id="5"/>
    </w:p>
    <w:p>
      <w:pPr>
        <w:pStyle w:val="5"/>
        <w:ind w:firstLine="643"/>
        <w:rPr>
          <w:rFonts w:hint="default" w:eastAsia="仿宋"/>
          <w:lang w:val="en-US" w:eastAsia="zh-CN"/>
        </w:rPr>
      </w:pPr>
      <w:bookmarkStart w:id="6" w:name="_Toc79333432"/>
      <w:r>
        <w:rPr>
          <w:rFonts w:hint="eastAsia"/>
        </w:rPr>
        <w:t>1、项目背景</w:t>
      </w:r>
      <w:bookmarkEnd w:id="6"/>
      <w:r>
        <w:rPr>
          <w:rFonts w:hint="eastAsia"/>
          <w:lang w:val="en-US" w:eastAsia="zh-CN"/>
        </w:rPr>
        <w:t>及项目实施内容</w:t>
      </w:r>
    </w:p>
    <w:p>
      <w:pPr>
        <w:ind w:firstLine="640"/>
        <w:rPr>
          <w:highlight w:val="none"/>
        </w:rPr>
      </w:pPr>
      <w:r>
        <w:rPr>
          <w:rFonts w:hint="eastAsia"/>
          <w:highlight w:val="none"/>
        </w:rPr>
        <w:t>根据中央统战部和省委统战工作领导小组关于加强海外统战工作的具体要求，设立“一带一路”共建工作经费。加强海外统战工作。为贯彻执行中央和省委、省政府关于外事、侨务、港澳工作的方针政策以及决策部署，进行外事、侨务和港澳情况调研，组织重要外事接待和重大涉外涉侨涉港澳活动，监督、检查有关部门和单位贯彻执行情况;负责市委外事工作领导小组办事机构的日常工作。做好对外宣传和友好往来，联络联谊海外华侨华人，统筹协调与港澳地区的工作以及业务往来，服务归侨、侨眷，更好地发挥外事侨务和港澳工作在我</w:t>
      </w:r>
      <w:r>
        <w:rPr>
          <w:rFonts w:hint="eastAsia"/>
          <w:highlight w:val="none"/>
          <w:lang w:val="en-US" w:eastAsia="zh-CN"/>
        </w:rPr>
        <w:t>市</w:t>
      </w:r>
      <w:r>
        <w:rPr>
          <w:rFonts w:hint="eastAsia"/>
          <w:highlight w:val="none"/>
        </w:rPr>
        <w:t>经济建设和社会发展中的作用。</w:t>
      </w:r>
    </w:p>
    <w:p>
      <w:pPr>
        <w:pStyle w:val="4"/>
      </w:pPr>
      <w:bookmarkStart w:id="7" w:name="_Toc14372"/>
      <w:bookmarkStart w:id="8" w:name="_Toc79333434"/>
      <w:bookmarkStart w:id="9" w:name="_Toc5169"/>
      <w:r>
        <w:rPr>
          <w:rFonts w:hint="eastAsia"/>
        </w:rPr>
        <w:t>（二）项目支出情况</w:t>
      </w:r>
      <w:bookmarkEnd w:id="7"/>
      <w:bookmarkEnd w:id="8"/>
      <w:bookmarkEnd w:id="9"/>
    </w:p>
    <w:p>
      <w:pPr>
        <w:pStyle w:val="5"/>
        <w:ind w:firstLine="643"/>
      </w:pPr>
      <w:bookmarkStart w:id="10" w:name="_Toc28118"/>
      <w:bookmarkStart w:id="11" w:name="_Toc79333435"/>
      <w:r>
        <w:rPr>
          <w:rFonts w:hint="eastAsia"/>
        </w:rPr>
        <w:t>1、项目预算情况</w:t>
      </w:r>
      <w:bookmarkEnd w:id="10"/>
      <w:bookmarkEnd w:id="11"/>
    </w:p>
    <w:p>
      <w:pPr>
        <w:ind w:firstLine="640"/>
        <w:rPr>
          <w:highlight w:val="none"/>
        </w:rPr>
      </w:pPr>
      <w:r>
        <w:rPr>
          <w:rFonts w:hint="eastAsia"/>
          <w:highlight w:val="none"/>
        </w:rPr>
        <w:t>项目于2</w:t>
      </w:r>
      <w:r>
        <w:rPr>
          <w:highlight w:val="none"/>
        </w:rPr>
        <w:t>02</w:t>
      </w:r>
      <w:r>
        <w:rPr>
          <w:rFonts w:hint="eastAsia"/>
          <w:highlight w:val="none"/>
        </w:rPr>
        <w:t>1年共申请财政资金</w:t>
      </w:r>
      <w:r>
        <w:rPr>
          <w:rFonts w:hint="eastAsia"/>
          <w:highlight w:val="none"/>
          <w:lang w:val="en-US" w:eastAsia="zh-CN"/>
        </w:rPr>
        <w:t>10</w:t>
      </w:r>
      <w:r>
        <w:rPr>
          <w:rFonts w:hint="eastAsia"/>
          <w:highlight w:val="none"/>
        </w:rPr>
        <w:t>万元，当年实际执行</w:t>
      </w:r>
      <w:r>
        <w:rPr>
          <w:rFonts w:hint="eastAsia"/>
          <w:highlight w:val="none"/>
          <w:lang w:val="en-US" w:eastAsia="zh-CN"/>
        </w:rPr>
        <w:t>3.23</w:t>
      </w:r>
      <w:r>
        <w:rPr>
          <w:rFonts w:hint="eastAsia"/>
          <w:highlight w:val="none"/>
        </w:rPr>
        <w:t>万元。</w:t>
      </w:r>
    </w:p>
    <w:p>
      <w:pPr>
        <w:pStyle w:val="5"/>
        <w:ind w:firstLine="643"/>
        <w:rPr>
          <w:highlight w:val="none"/>
        </w:rPr>
      </w:pPr>
      <w:bookmarkStart w:id="12" w:name="_Toc18098"/>
      <w:bookmarkStart w:id="13" w:name="_Toc79333436"/>
      <w:r>
        <w:rPr>
          <w:rFonts w:hint="eastAsia"/>
          <w:highlight w:val="none"/>
        </w:rPr>
        <w:t>2、项目预算执行情况</w:t>
      </w:r>
      <w:bookmarkEnd w:id="12"/>
      <w:bookmarkEnd w:id="13"/>
    </w:p>
    <w:p>
      <w:pPr>
        <w:ind w:firstLine="640"/>
        <w:jc w:val="left"/>
        <w:rPr>
          <w:highlight w:val="none"/>
        </w:rPr>
      </w:pPr>
      <w:r>
        <w:rPr>
          <w:rFonts w:hint="eastAsia"/>
          <w:highlight w:val="none"/>
        </w:rPr>
        <w:t>项目全年预算财政资金为</w:t>
      </w:r>
      <w:r>
        <w:rPr>
          <w:rFonts w:hint="eastAsia"/>
          <w:highlight w:val="none"/>
          <w:lang w:val="en-US" w:eastAsia="zh-CN"/>
        </w:rPr>
        <w:t>3.23</w:t>
      </w:r>
      <w:r>
        <w:rPr>
          <w:rFonts w:hint="eastAsia"/>
          <w:highlight w:val="none"/>
        </w:rPr>
        <w:t>万元，实际支出</w:t>
      </w:r>
      <w:r>
        <w:rPr>
          <w:rFonts w:hint="eastAsia"/>
          <w:highlight w:val="none"/>
          <w:lang w:val="en-US" w:eastAsia="zh-CN"/>
        </w:rPr>
        <w:t>3.23</w:t>
      </w:r>
      <w:r>
        <w:rPr>
          <w:rFonts w:hint="eastAsia"/>
          <w:highlight w:val="none"/>
        </w:rPr>
        <w:t>万元，执行率100%。</w:t>
      </w:r>
    </w:p>
    <w:p>
      <w:pPr>
        <w:pStyle w:val="3"/>
      </w:pPr>
      <w:bookmarkStart w:id="14" w:name="_Toc75871361"/>
      <w:bookmarkStart w:id="15" w:name="_Toc15312"/>
      <w:bookmarkStart w:id="16" w:name="_Toc10420"/>
      <w:bookmarkStart w:id="17" w:name="_Toc79333437"/>
      <w:r>
        <w:rPr>
          <w:rFonts w:hint="eastAsia"/>
        </w:rPr>
        <w:t>二、绩效自评工作开展情况</w:t>
      </w:r>
      <w:bookmarkEnd w:id="14"/>
      <w:bookmarkEnd w:id="15"/>
      <w:bookmarkEnd w:id="16"/>
      <w:bookmarkEnd w:id="17"/>
    </w:p>
    <w:p>
      <w:pPr>
        <w:pStyle w:val="4"/>
      </w:pPr>
      <w:bookmarkStart w:id="18" w:name="_Toc17324"/>
      <w:bookmarkStart w:id="19" w:name="_Toc75871362"/>
      <w:bookmarkStart w:id="20" w:name="_Toc79333438"/>
      <w:r>
        <w:rPr>
          <w:rFonts w:hint="eastAsia"/>
        </w:rPr>
        <w:t>（一）绩效自评价目的和意义</w:t>
      </w:r>
      <w:bookmarkEnd w:id="18"/>
      <w:bookmarkEnd w:id="19"/>
      <w:bookmarkEnd w:id="20"/>
    </w:p>
    <w:p>
      <w:pPr>
        <w:ind w:firstLine="640"/>
      </w:pPr>
      <w:r>
        <w:rPr>
          <w:rFonts w:hint="eastAsia"/>
        </w:rPr>
        <w:t>预算支出绩效自评价是预算单位运用科学、规范的评价方法，对照统一的评价标准，对预算支出的效率和效益进行的自我衡量和综合评价。</w:t>
      </w:r>
    </w:p>
    <w:p>
      <w:pPr>
        <w:ind w:firstLine="640"/>
      </w:pPr>
      <w:r>
        <w:rPr>
          <w:rFonts w:hint="eastAsia"/>
        </w:rPr>
        <w:t>预算支出绩效自评价的目的是：通过对绩效目标的综合考评，合理配置资源，优化支出结构，规范预算资金分配，提高财政资源配置效率和使用效益。</w:t>
      </w:r>
    </w:p>
    <w:p>
      <w:pPr>
        <w:ind w:firstLine="640"/>
      </w:pPr>
      <w:r>
        <w:rPr>
          <w:rFonts w:hint="eastAsia"/>
        </w:rPr>
        <w:t>推进预算支出绩效自评价的意义是：加强部门及项目预算管理，有利于建设高效透明政府，有利于深化政府管理体制改革。从政府部门管理层面来看，可促进预算单位预算管理的科学性和合理性；从财政部门资金监管层面来看，可深入了解资金投向的明确性和准确性，提高资金使用效率；从项目实施单位来看，可以进一步规范资金使用，提升项目实施效果。</w:t>
      </w:r>
    </w:p>
    <w:p>
      <w:pPr>
        <w:pStyle w:val="4"/>
      </w:pPr>
      <w:bookmarkStart w:id="21" w:name="_Toc5408"/>
      <w:bookmarkStart w:id="22" w:name="_Toc79333439"/>
      <w:bookmarkStart w:id="23" w:name="_Toc75871363"/>
      <w:bookmarkStart w:id="24" w:name="_Toc3060"/>
      <w:r>
        <w:rPr>
          <w:rFonts w:hint="eastAsia"/>
        </w:rPr>
        <w:t>（二）绩效自评价对象和范围</w:t>
      </w:r>
      <w:bookmarkEnd w:id="21"/>
      <w:bookmarkEnd w:id="22"/>
      <w:bookmarkEnd w:id="23"/>
      <w:bookmarkEnd w:id="24"/>
    </w:p>
    <w:p>
      <w:pPr>
        <w:ind w:firstLine="640"/>
      </w:pPr>
      <w:r>
        <w:rPr>
          <w:rFonts w:hint="eastAsia"/>
          <w:highlight w:val="none"/>
        </w:rPr>
        <w:t>本次绩效自评价对象为2</w:t>
      </w:r>
      <w:r>
        <w:rPr>
          <w:highlight w:val="none"/>
        </w:rPr>
        <w:t>02</w:t>
      </w:r>
      <w:r>
        <w:rPr>
          <w:rFonts w:hint="eastAsia"/>
          <w:highlight w:val="none"/>
        </w:rPr>
        <w:t>1年外事侨务活动经费（侨办）项目专项资金，评价范围为涉及该项目管理及其预算资金</w:t>
      </w:r>
      <w:r>
        <w:rPr>
          <w:rFonts w:hint="eastAsia"/>
          <w:highlight w:val="none"/>
          <w:lang w:val="en-US" w:eastAsia="zh-CN"/>
        </w:rPr>
        <w:t>3.23</w:t>
      </w:r>
      <w:r>
        <w:rPr>
          <w:rFonts w:hint="eastAsia"/>
          <w:highlight w:val="none"/>
        </w:rPr>
        <w:t>万元的使用情况</w:t>
      </w:r>
      <w:r>
        <w:rPr>
          <w:rFonts w:hint="eastAsia"/>
        </w:rPr>
        <w:t>。</w:t>
      </w:r>
    </w:p>
    <w:p>
      <w:pPr>
        <w:pStyle w:val="4"/>
      </w:pPr>
      <w:bookmarkStart w:id="25" w:name="_Toc8160"/>
      <w:bookmarkStart w:id="26" w:name="_Toc75871364"/>
      <w:bookmarkStart w:id="27" w:name="_Toc79333440"/>
      <w:bookmarkStart w:id="28" w:name="_Toc30233"/>
      <w:r>
        <w:rPr>
          <w:rFonts w:hint="eastAsia"/>
        </w:rPr>
        <w:t>（三）绩效评价的依据</w:t>
      </w:r>
      <w:bookmarkEnd w:id="25"/>
      <w:bookmarkEnd w:id="26"/>
      <w:bookmarkEnd w:id="27"/>
      <w:bookmarkEnd w:id="28"/>
    </w:p>
    <w:p>
      <w:pPr>
        <w:numPr>
          <w:ilvl w:val="0"/>
          <w:numId w:val="1"/>
        </w:numPr>
        <w:ind w:firstLine="640"/>
      </w:pPr>
      <w:r>
        <w:rPr>
          <w:rFonts w:hint="eastAsia"/>
        </w:rPr>
        <w:t>中共中央、国务院《关于全面实施预算绩效管理的意见》（中发〔2018〕34号）；</w:t>
      </w:r>
    </w:p>
    <w:p>
      <w:pPr>
        <w:numPr>
          <w:ilvl w:val="0"/>
          <w:numId w:val="1"/>
        </w:numPr>
        <w:ind w:firstLine="640"/>
      </w:pPr>
      <w:r>
        <w:rPr>
          <w:rFonts w:hint="eastAsia"/>
        </w:rPr>
        <w:t>《项目支出绩效评价管理办法》（财预〔2020〕10号）；</w:t>
      </w:r>
    </w:p>
    <w:p>
      <w:pPr>
        <w:numPr>
          <w:ilvl w:val="0"/>
          <w:numId w:val="1"/>
        </w:numPr>
        <w:ind w:firstLine="640"/>
      </w:pPr>
      <w:r>
        <w:rPr>
          <w:rFonts w:hint="eastAsia"/>
        </w:rPr>
        <w:t>《预算绩效评价共性指标体系框架》（财预〔2013〕53号）；</w:t>
      </w:r>
    </w:p>
    <w:p>
      <w:pPr>
        <w:numPr>
          <w:ilvl w:val="0"/>
          <w:numId w:val="1"/>
        </w:numPr>
        <w:ind w:firstLine="640"/>
      </w:pPr>
      <w:r>
        <w:rPr>
          <w:rFonts w:hint="eastAsia"/>
        </w:rPr>
        <w:t>《中共河南省委 河南省人民政府关于全面实施预算绩效管理的实施意见》（豫发〔2019〕10号）；</w:t>
      </w:r>
    </w:p>
    <w:p>
      <w:pPr>
        <w:numPr>
          <w:ilvl w:val="0"/>
          <w:numId w:val="1"/>
        </w:numPr>
        <w:ind w:firstLine="640"/>
      </w:pPr>
      <w:r>
        <w:rPr>
          <w:rFonts w:hint="eastAsia"/>
        </w:rPr>
        <w:t>河南省财政厅关于印发《河南省省级预算项目支出绩效评价管理办法》的通知（豫财效〔2020〕10号）；</w:t>
      </w:r>
    </w:p>
    <w:p>
      <w:pPr>
        <w:numPr>
          <w:ilvl w:val="0"/>
          <w:numId w:val="1"/>
        </w:numPr>
        <w:ind w:firstLine="640"/>
      </w:pPr>
      <w:r>
        <w:rPr>
          <w:rFonts w:hint="eastAsia"/>
          <w:lang w:val="en-US" w:eastAsia="zh-CN"/>
        </w:rPr>
        <w:t>中共三门峡市委、三门峡市人民政府《关于全面实施预算绩效管理的意见》（三发〔2020〕14号）；</w:t>
      </w:r>
    </w:p>
    <w:p>
      <w:pPr>
        <w:numPr>
          <w:ilvl w:val="0"/>
          <w:numId w:val="1"/>
        </w:numPr>
        <w:ind w:firstLine="640"/>
      </w:pPr>
      <w:r>
        <w:rPr>
          <w:rFonts w:hint="eastAsia"/>
          <w:lang w:val="en-US" w:eastAsia="zh-CN"/>
        </w:rPr>
        <w:t>《</w:t>
      </w:r>
      <w:r>
        <w:rPr>
          <w:rFonts w:hint="default"/>
          <w:lang w:val="zh-CN" w:eastAsia="zh-CN"/>
        </w:rPr>
        <w:t>三门峡市财政局关于开展2021年度市级预算绩效自评工作的通知</w:t>
      </w:r>
      <w:r>
        <w:rPr>
          <w:rFonts w:hint="eastAsia"/>
          <w:lang w:val="en-US" w:eastAsia="zh-CN"/>
        </w:rPr>
        <w:t>》（</w:t>
      </w:r>
      <w:r>
        <w:rPr>
          <w:rFonts w:hint="default"/>
          <w:lang w:val="zh-CN" w:eastAsia="zh-CN"/>
        </w:rPr>
        <w:t>三财效</w:t>
      </w:r>
      <w:r>
        <w:rPr>
          <w:rFonts w:hint="eastAsia"/>
          <w:lang w:val="en-US" w:eastAsia="zh-CN"/>
        </w:rPr>
        <w:t>〔</w:t>
      </w:r>
      <w:r>
        <w:rPr>
          <w:rFonts w:hint="default"/>
          <w:lang w:val="zh-CN" w:eastAsia="zh-CN"/>
        </w:rPr>
        <w:t>2022</w:t>
      </w:r>
      <w:r>
        <w:rPr>
          <w:rFonts w:hint="eastAsia"/>
          <w:lang w:val="en-US" w:eastAsia="zh-CN"/>
        </w:rPr>
        <w:t>〕</w:t>
      </w:r>
      <w:r>
        <w:rPr>
          <w:rFonts w:hint="default"/>
          <w:lang w:val="zh-CN" w:eastAsia="zh-CN"/>
        </w:rPr>
        <w:t>3号</w:t>
      </w:r>
      <w:r>
        <w:rPr>
          <w:rFonts w:hint="eastAsia"/>
          <w:lang w:val="en-US" w:eastAsia="zh-CN"/>
        </w:rPr>
        <w:t>）；</w:t>
      </w:r>
    </w:p>
    <w:p>
      <w:pPr>
        <w:numPr>
          <w:ilvl w:val="0"/>
          <w:numId w:val="1"/>
        </w:numPr>
        <w:ind w:firstLine="640"/>
      </w:pPr>
      <w:r>
        <w:rPr>
          <w:rFonts w:hint="eastAsia"/>
        </w:rPr>
        <w:t>与本次自评相关的其他资料。</w:t>
      </w:r>
    </w:p>
    <w:p>
      <w:pPr>
        <w:pStyle w:val="4"/>
      </w:pPr>
      <w:bookmarkStart w:id="29" w:name="_Toc75871365"/>
      <w:bookmarkStart w:id="30" w:name="_Toc79333441"/>
      <w:bookmarkStart w:id="31" w:name="_Toc25058"/>
      <w:bookmarkStart w:id="32" w:name="_Toc13521"/>
      <w:r>
        <w:rPr>
          <w:rFonts w:hint="eastAsia"/>
        </w:rPr>
        <w:t>（四）评分方法</w:t>
      </w:r>
      <w:bookmarkEnd w:id="29"/>
      <w:bookmarkEnd w:id="30"/>
      <w:bookmarkEnd w:id="31"/>
      <w:bookmarkEnd w:id="32"/>
    </w:p>
    <w:p>
      <w:pPr>
        <w:ind w:firstLine="640"/>
      </w:pPr>
      <w:bookmarkStart w:id="33" w:name="_Toc27533"/>
      <w:r>
        <w:rPr>
          <w:rFonts w:hint="eastAsia"/>
        </w:rPr>
        <w:t>根据财政部《项目支出绩效评价管理办法》（财预〔2020〕10号）第十六条的相关要求：</w:t>
      </w:r>
    </w:p>
    <w:p>
      <w:pPr>
        <w:ind w:firstLine="640"/>
      </w:pPr>
      <w:r>
        <w:rPr>
          <w:rFonts w:hint="eastAsia"/>
        </w:rPr>
        <w:t>单位自评采用定量与定性评价相结合的比较法，总分由各项指标得分汇总形成。</w:t>
      </w:r>
    </w:p>
    <w:p>
      <w:pPr>
        <w:ind w:firstLine="640"/>
      </w:pPr>
      <w:r>
        <w:rPr>
          <w:rFonts w:hint="eastAsia"/>
        </w:rPr>
        <w:t>定量指标得分按照以下方法评定：与年初指标值相比，完成指标值的，计该指标所赋全部分值；对完成值高于指标值较多的，要分析原因，如果是由于年初指标值设定明显偏低造成的，要按照偏离度适度调减分值；未完成指标值的，按照完成值与指标值的比例计分。</w:t>
      </w:r>
    </w:p>
    <w:p>
      <w:pPr>
        <w:ind w:firstLine="640"/>
      </w:pPr>
      <w:r>
        <w:rPr>
          <w:rFonts w:hint="eastAsia"/>
        </w:rPr>
        <w:t>定性指标得分按照以下方法评定：根据指标完成情况分为达成年度指标、部分达成年度指标并具有一定效果、未达成年度指标且效果较差三档，分别按照该指标对应分值区间100%—80%（含）、80%—60%（含）、60%—0%合理确定分值。</w:t>
      </w:r>
    </w:p>
    <w:p>
      <w:pPr>
        <w:ind w:firstLine="640"/>
      </w:pPr>
      <w:r>
        <w:t>评分表满分为100分，</w:t>
      </w:r>
      <w:r>
        <w:rPr>
          <w:rFonts w:hint="eastAsia"/>
        </w:rPr>
        <w:t>一</w:t>
      </w:r>
      <w:r>
        <w:t>级指标分值统一设置为：预算执行率10分、产出指标50分、效益指标30分、服务对象满意指标10分。各部门可根据指标的重要程度自主确定各项三级指标的权重分值各项指标得分加总得出自评的总分。</w:t>
      </w:r>
    </w:p>
    <w:p>
      <w:pPr>
        <w:ind w:firstLine="640"/>
      </w:pPr>
      <w:r>
        <w:rPr>
          <w:rFonts w:hint="eastAsia"/>
        </w:rPr>
        <w:t>综合各级政府绩效评价相关政策，按照政策相关要求，根据指标的重要程度确定各项三级指标的权重分值。</w:t>
      </w:r>
    </w:p>
    <w:p>
      <w:pPr>
        <w:pStyle w:val="4"/>
      </w:pPr>
      <w:bookmarkStart w:id="34" w:name="_Toc75871366"/>
      <w:bookmarkStart w:id="35" w:name="_Toc79333442"/>
      <w:bookmarkStart w:id="36" w:name="_Toc1628"/>
      <w:r>
        <w:rPr>
          <w:rFonts w:hint="eastAsia"/>
        </w:rPr>
        <w:t>（五）绩效自评工作组织</w:t>
      </w:r>
      <w:bookmarkEnd w:id="33"/>
      <w:bookmarkEnd w:id="34"/>
      <w:bookmarkEnd w:id="35"/>
      <w:bookmarkEnd w:id="36"/>
    </w:p>
    <w:p>
      <w:pPr>
        <w:ind w:firstLine="640"/>
      </w:pPr>
      <w:r>
        <w:rPr>
          <w:rFonts w:hint="eastAsia"/>
        </w:rPr>
        <w:t>我单位依据自评价相关要求，成立项目自评领导小组，下设自评工作组，由工作组根据具体项目指定专人配合进行自评。</w:t>
      </w:r>
    </w:p>
    <w:p>
      <w:pPr>
        <w:ind w:firstLine="640"/>
      </w:pPr>
      <w:r>
        <w:rPr>
          <w:rFonts w:hint="eastAsia"/>
        </w:rPr>
        <w:t>工作组主要工作内容有：</w:t>
      </w:r>
    </w:p>
    <w:p>
      <w:pPr>
        <w:ind w:firstLine="640"/>
      </w:pPr>
      <w:r>
        <w:rPr>
          <w:rFonts w:hint="eastAsia"/>
        </w:rPr>
        <w:t>1、召开自评价专门会议，进行自评价工作的统一部署并组织项目相关成员进行必要的政策法规学习；</w:t>
      </w:r>
    </w:p>
    <w:p>
      <w:pPr>
        <w:ind w:firstLine="640"/>
      </w:pPr>
      <w:r>
        <w:rPr>
          <w:rFonts w:hint="eastAsia"/>
        </w:rPr>
        <w:t>2、组织有效的调查研究、项目座谈、查阅相关资料；</w:t>
      </w:r>
    </w:p>
    <w:p>
      <w:pPr>
        <w:ind w:firstLine="640"/>
      </w:pPr>
      <w:r>
        <w:rPr>
          <w:rFonts w:hint="eastAsia"/>
        </w:rPr>
        <w:t>3、根据获取的资料，依照《项目支出绩效自评表》进行合理打分；</w:t>
      </w:r>
    </w:p>
    <w:p>
      <w:pPr>
        <w:ind w:firstLine="640"/>
      </w:pPr>
      <w:r>
        <w:rPr>
          <w:rFonts w:hint="eastAsia"/>
        </w:rPr>
        <w:t>4、综合上述工作成果，撰写项目自评价报告；</w:t>
      </w:r>
    </w:p>
    <w:p>
      <w:pPr>
        <w:ind w:firstLine="640"/>
      </w:pPr>
      <w:r>
        <w:rPr>
          <w:rFonts w:hint="eastAsia"/>
        </w:rPr>
        <w:t>5、完成项目绩效评价相关政策所要求的其他事项。</w:t>
      </w:r>
    </w:p>
    <w:p>
      <w:pPr>
        <w:pStyle w:val="3"/>
      </w:pPr>
      <w:bookmarkStart w:id="37" w:name="_Toc26019"/>
      <w:bookmarkStart w:id="38" w:name="_Toc79333443"/>
      <w:r>
        <w:rPr>
          <w:rFonts w:hint="eastAsia"/>
        </w:rPr>
        <w:t>三、绩效自评结果及分析</w:t>
      </w:r>
      <w:bookmarkEnd w:id="37"/>
      <w:bookmarkEnd w:id="38"/>
    </w:p>
    <w:p>
      <w:pPr>
        <w:pStyle w:val="4"/>
      </w:pPr>
      <w:bookmarkStart w:id="39" w:name="_Toc79333444"/>
      <w:bookmarkStart w:id="40" w:name="_Toc5402"/>
      <w:bookmarkStart w:id="41" w:name="_Toc4028"/>
      <w:r>
        <w:t>（一）绩效自评价结果</w:t>
      </w:r>
      <w:bookmarkEnd w:id="39"/>
      <w:bookmarkEnd w:id="40"/>
      <w:bookmarkEnd w:id="41"/>
    </w:p>
    <w:p>
      <w:pPr>
        <w:ind w:firstLine="640"/>
      </w:pPr>
      <w:r>
        <w:rPr>
          <w:rFonts w:hint="eastAsia"/>
        </w:rPr>
        <w:t>根据自评相关规定，绩效评价结果实行百分制和四级分类，分别是：90-100分为优、80-89分为良、60-79分为中、0-59分为差。</w:t>
      </w:r>
    </w:p>
    <w:p>
      <w:pPr>
        <w:ind w:firstLine="640"/>
        <w:rPr>
          <w:highlight w:val="none"/>
        </w:rPr>
      </w:pPr>
      <w:r>
        <w:rPr>
          <w:rFonts w:hint="eastAsia"/>
        </w:rPr>
        <w:t>我单位通过对本项目调查研究、座谈、查阅相关资料，根据相关政策要求进行打分，最终项目自评价</w:t>
      </w:r>
      <w:r>
        <w:rPr>
          <w:rFonts w:hint="eastAsia"/>
          <w:highlight w:val="none"/>
        </w:rPr>
        <w:t>得分为</w:t>
      </w:r>
      <w:r>
        <w:rPr>
          <w:rFonts w:hint="eastAsia"/>
          <w:highlight w:val="none"/>
          <w:lang w:val="en-US" w:eastAsia="zh-CN"/>
        </w:rPr>
        <w:t>91</w:t>
      </w:r>
      <w:r>
        <w:rPr>
          <w:rFonts w:hint="eastAsia"/>
          <w:highlight w:val="none"/>
        </w:rPr>
        <w:t>分，评价结果为“</w:t>
      </w:r>
      <w:r>
        <w:rPr>
          <w:rFonts w:hint="eastAsia"/>
          <w:highlight w:val="none"/>
          <w:lang w:val="en-US" w:eastAsia="zh-CN"/>
        </w:rPr>
        <w:t>优</w:t>
      </w:r>
      <w:r>
        <w:rPr>
          <w:rFonts w:hint="eastAsia"/>
          <w:highlight w:val="none"/>
        </w:rPr>
        <w:t>”。各项指标具体得分情况如下表</w:t>
      </w:r>
      <w:r>
        <w:rPr>
          <w:highlight w:val="none"/>
        </w:rPr>
        <w:t>3</w:t>
      </w:r>
      <w:r>
        <w:rPr>
          <w:rFonts w:hint="eastAsia"/>
          <w:highlight w:val="none"/>
        </w:rPr>
        <w:t>.1所示</w:t>
      </w:r>
    </w:p>
    <w:p>
      <w:pPr>
        <w:pStyle w:val="19"/>
        <w:ind w:firstLine="643"/>
        <w:rPr>
          <w:rFonts w:hint="eastAsia"/>
          <w:highlight w:val="none"/>
        </w:rPr>
      </w:pPr>
    </w:p>
    <w:p>
      <w:pPr>
        <w:pStyle w:val="19"/>
        <w:keepNext w:val="0"/>
        <w:keepLines w:val="0"/>
        <w:pageBreakBefore w:val="0"/>
        <w:widowControl w:val="0"/>
        <w:kinsoku/>
        <w:wordWrap/>
        <w:overflowPunct/>
        <w:topLinePunct w:val="0"/>
        <w:autoSpaceDE/>
        <w:autoSpaceDN/>
        <w:bidi w:val="0"/>
        <w:adjustRightInd w:val="0"/>
        <w:snapToGrid w:val="0"/>
        <w:ind w:firstLine="0" w:firstLineChars="0"/>
        <w:textAlignment w:val="auto"/>
        <w:rPr>
          <w:highlight w:val="none"/>
        </w:rPr>
      </w:pPr>
      <w:r>
        <w:rPr>
          <w:rFonts w:hint="eastAsia"/>
          <w:highlight w:val="none"/>
        </w:rPr>
        <w:t>表3.1 绩效自评价得分表</w:t>
      </w:r>
    </w:p>
    <w:tbl>
      <w:tblPr>
        <w:tblStyle w:val="13"/>
        <w:tblW w:w="5212" w:type="pct"/>
        <w:jc w:val="center"/>
        <w:tblLayout w:type="fixed"/>
        <w:tblCellMar>
          <w:top w:w="0" w:type="dxa"/>
          <w:left w:w="108" w:type="dxa"/>
          <w:bottom w:w="0" w:type="dxa"/>
          <w:right w:w="108" w:type="dxa"/>
        </w:tblCellMar>
      </w:tblPr>
      <w:tblGrid>
        <w:gridCol w:w="1305"/>
        <w:gridCol w:w="1603"/>
        <w:gridCol w:w="3047"/>
        <w:gridCol w:w="1487"/>
        <w:gridCol w:w="1442"/>
      </w:tblGrid>
      <w:tr>
        <w:tblPrEx>
          <w:tblCellMar>
            <w:top w:w="0" w:type="dxa"/>
            <w:left w:w="108" w:type="dxa"/>
            <w:bottom w:w="0" w:type="dxa"/>
            <w:right w:w="108" w:type="dxa"/>
          </w:tblCellMar>
        </w:tblPrEx>
        <w:trPr>
          <w:trHeight w:val="567" w:hRule="atLeast"/>
          <w:tblHeader/>
          <w:jc w:val="center"/>
        </w:trPr>
        <w:tc>
          <w:tcPr>
            <w:tcW w:w="734"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pStyle w:val="17"/>
              <w:rPr>
                <w:highlight w:val="none"/>
              </w:rPr>
            </w:pPr>
            <w:r>
              <w:rPr>
                <w:rFonts w:hint="eastAsia"/>
                <w:highlight w:val="none"/>
              </w:rPr>
              <w:t>一级指标</w:t>
            </w:r>
          </w:p>
        </w:tc>
        <w:tc>
          <w:tcPr>
            <w:tcW w:w="902"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7"/>
              <w:rPr>
                <w:highlight w:val="none"/>
              </w:rPr>
            </w:pPr>
            <w:r>
              <w:rPr>
                <w:rFonts w:hint="eastAsia"/>
                <w:highlight w:val="none"/>
              </w:rPr>
              <w:t>二级指标</w:t>
            </w:r>
          </w:p>
        </w:tc>
        <w:tc>
          <w:tcPr>
            <w:tcW w:w="1714"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7"/>
              <w:rPr>
                <w:highlight w:val="none"/>
              </w:rPr>
            </w:pPr>
            <w:r>
              <w:rPr>
                <w:rFonts w:hint="eastAsia"/>
                <w:highlight w:val="none"/>
              </w:rPr>
              <w:t>三级指标</w:t>
            </w:r>
          </w:p>
        </w:tc>
        <w:tc>
          <w:tcPr>
            <w:tcW w:w="836"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7"/>
              <w:rPr>
                <w:highlight w:val="none"/>
              </w:rPr>
            </w:pPr>
            <w:r>
              <w:rPr>
                <w:rFonts w:hint="eastAsia"/>
                <w:highlight w:val="none"/>
              </w:rPr>
              <w:t>标准分值</w:t>
            </w:r>
          </w:p>
        </w:tc>
        <w:tc>
          <w:tcPr>
            <w:tcW w:w="811"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pStyle w:val="17"/>
              <w:rPr>
                <w:highlight w:val="none"/>
              </w:rPr>
            </w:pPr>
            <w:r>
              <w:rPr>
                <w:rFonts w:hint="eastAsia"/>
                <w:highlight w:val="none"/>
              </w:rPr>
              <w:t>实际得分</w:t>
            </w:r>
          </w:p>
        </w:tc>
      </w:tr>
      <w:tr>
        <w:tblPrEx>
          <w:tblCellMar>
            <w:top w:w="0" w:type="dxa"/>
            <w:left w:w="108" w:type="dxa"/>
            <w:bottom w:w="0" w:type="dxa"/>
            <w:right w:w="108" w:type="dxa"/>
          </w:tblCellMar>
        </w:tblPrEx>
        <w:trPr>
          <w:trHeight w:val="567" w:hRule="atLeast"/>
          <w:jc w:val="center"/>
        </w:trPr>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7"/>
              <w:rPr>
                <w:highlight w:val="none"/>
              </w:rPr>
            </w:pPr>
            <w:r>
              <w:rPr>
                <w:rFonts w:hint="eastAsia"/>
                <w:highlight w:val="none"/>
              </w:rPr>
              <w:t>预算执行</w:t>
            </w:r>
          </w:p>
        </w:tc>
        <w:tc>
          <w:tcPr>
            <w:tcW w:w="902" w:type="pct"/>
            <w:tcBorders>
              <w:top w:val="single" w:color="auto" w:sz="4" w:space="0"/>
              <w:left w:val="nil"/>
              <w:bottom w:val="single" w:color="auto" w:sz="4" w:space="0"/>
              <w:right w:val="single" w:color="auto" w:sz="4" w:space="0"/>
            </w:tcBorders>
            <w:shd w:val="clear" w:color="auto" w:fill="auto"/>
            <w:vAlign w:val="center"/>
          </w:tcPr>
          <w:p>
            <w:pPr>
              <w:pStyle w:val="17"/>
              <w:rPr>
                <w:highlight w:val="none"/>
              </w:rPr>
            </w:pPr>
            <w:r>
              <w:rPr>
                <w:rFonts w:hint="eastAsia"/>
                <w:highlight w:val="none"/>
              </w:rPr>
              <w:t>预算执行率</w:t>
            </w: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highlight w:val="none"/>
              </w:rPr>
            </w:pPr>
            <w:r>
              <w:rPr>
                <w:rFonts w:hint="eastAsia"/>
                <w:highlight w:val="none"/>
              </w:rPr>
              <w:t>预算执行率</w:t>
            </w:r>
          </w:p>
        </w:tc>
        <w:tc>
          <w:tcPr>
            <w:tcW w:w="836" w:type="pct"/>
            <w:tcBorders>
              <w:top w:val="single" w:color="auto" w:sz="4" w:space="0"/>
              <w:left w:val="nil"/>
              <w:bottom w:val="single" w:color="auto" w:sz="4" w:space="0"/>
              <w:right w:val="single" w:color="auto" w:sz="4" w:space="0"/>
            </w:tcBorders>
            <w:shd w:val="clear" w:color="auto" w:fill="auto"/>
            <w:vAlign w:val="center"/>
          </w:tcPr>
          <w:p>
            <w:pPr>
              <w:pStyle w:val="17"/>
              <w:rPr>
                <w:rFonts w:hint="default" w:eastAsia="仿宋"/>
                <w:highlight w:val="none"/>
                <w:lang w:val="en-US" w:eastAsia="zh-CN"/>
              </w:rPr>
            </w:pPr>
            <w:r>
              <w:rPr>
                <w:rFonts w:hint="eastAsia"/>
                <w:highlight w:val="none"/>
                <w:lang w:val="en-US" w:eastAsia="zh-CN"/>
              </w:rPr>
              <w:t>10</w:t>
            </w:r>
          </w:p>
        </w:tc>
        <w:tc>
          <w:tcPr>
            <w:tcW w:w="811" w:type="pct"/>
            <w:tcBorders>
              <w:top w:val="single" w:color="auto" w:sz="4" w:space="0"/>
              <w:left w:val="nil"/>
              <w:bottom w:val="single" w:color="auto" w:sz="4" w:space="0"/>
              <w:right w:val="single" w:color="auto" w:sz="4" w:space="0"/>
            </w:tcBorders>
            <w:shd w:val="clear" w:color="auto" w:fill="auto"/>
            <w:vAlign w:val="center"/>
          </w:tcPr>
          <w:p>
            <w:pPr>
              <w:pStyle w:val="17"/>
              <w:rPr>
                <w:rFonts w:hint="default" w:eastAsia="仿宋"/>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734" w:type="pct"/>
            <w:vMerge w:val="restart"/>
            <w:tcBorders>
              <w:left w:val="single" w:color="auto" w:sz="4" w:space="0"/>
              <w:right w:val="single" w:color="auto" w:sz="4" w:space="0"/>
            </w:tcBorders>
            <w:vAlign w:val="center"/>
          </w:tcPr>
          <w:p>
            <w:pPr>
              <w:pStyle w:val="17"/>
              <w:rPr>
                <w:rFonts w:hint="default"/>
                <w:highlight w:val="none"/>
                <w:lang w:val="en-US" w:eastAsia="zh-CN"/>
              </w:rPr>
            </w:pPr>
            <w:r>
              <w:rPr>
                <w:rFonts w:hint="eastAsia"/>
                <w:highlight w:val="none"/>
                <w:lang w:val="en-US" w:eastAsia="zh-CN"/>
              </w:rPr>
              <w:t>产出指标</w:t>
            </w:r>
          </w:p>
        </w:tc>
        <w:tc>
          <w:tcPr>
            <w:tcW w:w="902" w:type="pct"/>
            <w:vMerge w:val="restart"/>
            <w:tcBorders>
              <w:top w:val="single" w:color="auto" w:sz="4" w:space="0"/>
              <w:left w:val="single" w:color="auto" w:sz="4" w:space="0"/>
              <w:right w:val="single" w:color="auto" w:sz="4" w:space="0"/>
            </w:tcBorders>
            <w:vAlign w:val="center"/>
          </w:tcPr>
          <w:p>
            <w:pPr>
              <w:pStyle w:val="17"/>
              <w:rPr>
                <w:rFonts w:hint="eastAsia" w:eastAsia="仿宋"/>
                <w:highlight w:val="none"/>
                <w:lang w:val="en-US" w:eastAsia="zh-CN"/>
              </w:rPr>
            </w:pPr>
            <w:r>
              <w:rPr>
                <w:rFonts w:hint="eastAsia"/>
                <w:highlight w:val="none"/>
                <w:lang w:val="en-US" w:eastAsia="zh-CN"/>
              </w:rPr>
              <w:t>数量指标</w:t>
            </w: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highlight w:val="none"/>
              </w:rPr>
            </w:pPr>
            <w:r>
              <w:rPr>
                <w:rFonts w:hint="eastAsia"/>
                <w:highlight w:val="none"/>
                <w:lang w:val="en-US" w:eastAsia="zh-CN"/>
              </w:rPr>
              <w:t>邀请海外重点华侨代表批次</w:t>
            </w:r>
          </w:p>
        </w:tc>
        <w:tc>
          <w:tcPr>
            <w:tcW w:w="1487"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5</w:t>
            </w:r>
          </w:p>
        </w:tc>
        <w:tc>
          <w:tcPr>
            <w:tcW w:w="144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2</w:t>
            </w:r>
          </w:p>
        </w:tc>
      </w:tr>
      <w:tr>
        <w:tblPrEx>
          <w:tblCellMar>
            <w:top w:w="0" w:type="dxa"/>
            <w:left w:w="108" w:type="dxa"/>
            <w:bottom w:w="0" w:type="dxa"/>
            <w:right w:w="108" w:type="dxa"/>
          </w:tblCellMar>
        </w:tblPrEx>
        <w:trPr>
          <w:trHeight w:val="567" w:hRule="atLeast"/>
          <w:jc w:val="center"/>
        </w:trPr>
        <w:tc>
          <w:tcPr>
            <w:tcW w:w="734"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02" w:type="pct"/>
            <w:vMerge w:val="continue"/>
            <w:tcBorders>
              <w:left w:val="single" w:color="auto" w:sz="4" w:space="0"/>
              <w:right w:val="single" w:color="auto" w:sz="4" w:space="0"/>
            </w:tcBorders>
            <w:vAlign w:val="center"/>
          </w:tcPr>
          <w:p>
            <w:pPr>
              <w:pStyle w:val="17"/>
              <w:rPr>
                <w:rFonts w:hint="eastAsia"/>
                <w:highlight w:val="none"/>
              </w:rPr>
            </w:pP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highlight w:val="none"/>
              </w:rPr>
            </w:pPr>
            <w:r>
              <w:rPr>
                <w:rFonts w:hint="eastAsia"/>
                <w:highlight w:val="none"/>
                <w:lang w:val="en-US" w:eastAsia="zh-CN"/>
              </w:rPr>
              <w:t>华侨和重点代表人士慰问人数</w:t>
            </w:r>
          </w:p>
        </w:tc>
        <w:tc>
          <w:tcPr>
            <w:tcW w:w="1487"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c>
          <w:tcPr>
            <w:tcW w:w="144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34"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02" w:type="pct"/>
            <w:vMerge w:val="continue"/>
            <w:tcBorders>
              <w:left w:val="single" w:color="auto" w:sz="4" w:space="0"/>
              <w:right w:val="single" w:color="auto" w:sz="4" w:space="0"/>
            </w:tcBorders>
            <w:vAlign w:val="center"/>
          </w:tcPr>
          <w:p>
            <w:pPr>
              <w:pStyle w:val="17"/>
              <w:rPr>
                <w:rFonts w:hint="eastAsia"/>
                <w:highlight w:val="none"/>
              </w:rPr>
            </w:pP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highlight w:val="none"/>
              </w:rPr>
            </w:pPr>
            <w:r>
              <w:rPr>
                <w:rFonts w:hint="eastAsia"/>
                <w:highlight w:val="none"/>
                <w:lang w:val="en-US" w:eastAsia="zh-CN"/>
              </w:rPr>
              <w:t>华侨和重点代表人选拔人数</w:t>
            </w:r>
          </w:p>
        </w:tc>
        <w:tc>
          <w:tcPr>
            <w:tcW w:w="1487"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c>
          <w:tcPr>
            <w:tcW w:w="144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34"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02" w:type="pct"/>
            <w:vMerge w:val="continue"/>
            <w:tcBorders>
              <w:left w:val="single" w:color="auto" w:sz="4" w:space="0"/>
              <w:right w:val="single" w:color="auto" w:sz="4" w:space="0"/>
            </w:tcBorders>
            <w:vAlign w:val="center"/>
          </w:tcPr>
          <w:p>
            <w:pPr>
              <w:pStyle w:val="17"/>
              <w:rPr>
                <w:rFonts w:hint="eastAsia"/>
                <w:highlight w:val="none"/>
              </w:rPr>
            </w:pP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highlight w:val="none"/>
              </w:rPr>
            </w:pPr>
            <w:r>
              <w:rPr>
                <w:rFonts w:hint="eastAsia"/>
                <w:highlight w:val="none"/>
                <w:lang w:val="en-US" w:eastAsia="zh-CN"/>
              </w:rPr>
              <w:t>考察海外华侨社团在国内办事机构次数</w:t>
            </w:r>
          </w:p>
        </w:tc>
        <w:tc>
          <w:tcPr>
            <w:tcW w:w="1487"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6</w:t>
            </w:r>
          </w:p>
        </w:tc>
        <w:tc>
          <w:tcPr>
            <w:tcW w:w="144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2</w:t>
            </w:r>
          </w:p>
        </w:tc>
      </w:tr>
      <w:tr>
        <w:tblPrEx>
          <w:tblCellMar>
            <w:top w:w="0" w:type="dxa"/>
            <w:left w:w="108" w:type="dxa"/>
            <w:bottom w:w="0" w:type="dxa"/>
            <w:right w:w="108" w:type="dxa"/>
          </w:tblCellMar>
        </w:tblPrEx>
        <w:trPr>
          <w:trHeight w:val="567" w:hRule="atLeast"/>
          <w:jc w:val="center"/>
        </w:trPr>
        <w:tc>
          <w:tcPr>
            <w:tcW w:w="734"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02" w:type="pct"/>
            <w:vMerge w:val="continue"/>
            <w:tcBorders>
              <w:left w:val="single" w:color="auto" w:sz="4" w:space="0"/>
              <w:bottom w:val="single" w:color="auto" w:sz="4" w:space="0"/>
              <w:right w:val="single" w:color="auto" w:sz="4" w:space="0"/>
            </w:tcBorders>
            <w:vAlign w:val="center"/>
          </w:tcPr>
          <w:p>
            <w:pPr>
              <w:pStyle w:val="17"/>
              <w:rPr>
                <w:rFonts w:hint="eastAsia"/>
                <w:highlight w:val="none"/>
              </w:rPr>
            </w:pP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highlight w:val="none"/>
              </w:rPr>
            </w:pPr>
            <w:r>
              <w:rPr>
                <w:rFonts w:hint="eastAsia"/>
                <w:highlight w:val="none"/>
                <w:lang w:val="en-US" w:eastAsia="zh-CN"/>
              </w:rPr>
              <w:t>海外华侨在国内受荣人数</w:t>
            </w:r>
          </w:p>
        </w:tc>
        <w:tc>
          <w:tcPr>
            <w:tcW w:w="1487"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c>
          <w:tcPr>
            <w:tcW w:w="144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34"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02" w:type="pct"/>
            <w:vMerge w:val="restart"/>
            <w:tcBorders>
              <w:top w:val="single" w:color="auto" w:sz="4" w:space="0"/>
              <w:left w:val="single" w:color="auto" w:sz="4" w:space="0"/>
              <w:right w:val="single" w:color="auto" w:sz="4" w:space="0"/>
            </w:tcBorders>
            <w:vAlign w:val="center"/>
          </w:tcPr>
          <w:p>
            <w:pPr>
              <w:pStyle w:val="17"/>
              <w:rPr>
                <w:rFonts w:hint="eastAsia" w:eastAsia="仿宋"/>
                <w:highlight w:val="none"/>
                <w:lang w:val="en-US" w:eastAsia="zh-CN"/>
              </w:rPr>
            </w:pPr>
            <w:r>
              <w:rPr>
                <w:rFonts w:hint="eastAsia"/>
                <w:highlight w:val="none"/>
                <w:lang w:val="en-US" w:eastAsia="zh-CN"/>
              </w:rPr>
              <w:t>质量指标</w:t>
            </w: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highlight w:val="none"/>
              </w:rPr>
            </w:pPr>
            <w:r>
              <w:rPr>
                <w:rFonts w:hint="eastAsia"/>
                <w:highlight w:val="none"/>
                <w:lang w:val="en-US" w:eastAsia="zh-CN"/>
              </w:rPr>
              <w:t>邀请海外重点华侨代表完成率</w:t>
            </w:r>
          </w:p>
        </w:tc>
        <w:tc>
          <w:tcPr>
            <w:tcW w:w="1487"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c>
          <w:tcPr>
            <w:tcW w:w="144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34"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02" w:type="pct"/>
            <w:vMerge w:val="continue"/>
            <w:tcBorders>
              <w:left w:val="single" w:color="auto" w:sz="4" w:space="0"/>
              <w:right w:val="single" w:color="auto" w:sz="4" w:space="0"/>
            </w:tcBorders>
            <w:vAlign w:val="center"/>
          </w:tcPr>
          <w:p>
            <w:pPr>
              <w:pStyle w:val="17"/>
              <w:rPr>
                <w:rFonts w:hint="eastAsia"/>
                <w:highlight w:val="none"/>
              </w:rPr>
            </w:pP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highlight w:val="none"/>
              </w:rPr>
            </w:pPr>
            <w:r>
              <w:rPr>
                <w:rFonts w:hint="eastAsia"/>
                <w:highlight w:val="none"/>
                <w:lang w:val="en-US" w:eastAsia="zh-CN"/>
              </w:rPr>
              <w:t>华侨和重点代表人士慰问完成率</w:t>
            </w:r>
          </w:p>
        </w:tc>
        <w:tc>
          <w:tcPr>
            <w:tcW w:w="1487"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c>
          <w:tcPr>
            <w:tcW w:w="144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34"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02" w:type="pct"/>
            <w:vMerge w:val="continue"/>
            <w:tcBorders>
              <w:left w:val="single" w:color="auto" w:sz="4" w:space="0"/>
              <w:right w:val="single" w:color="auto" w:sz="4" w:space="0"/>
            </w:tcBorders>
            <w:vAlign w:val="center"/>
          </w:tcPr>
          <w:p>
            <w:pPr>
              <w:pStyle w:val="17"/>
              <w:rPr>
                <w:rFonts w:hint="eastAsia"/>
                <w:highlight w:val="none"/>
              </w:rPr>
            </w:pP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华侨和重点代表人选拔完成率</w:t>
            </w:r>
          </w:p>
        </w:tc>
        <w:tc>
          <w:tcPr>
            <w:tcW w:w="1487"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c>
          <w:tcPr>
            <w:tcW w:w="144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34"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02" w:type="pct"/>
            <w:vMerge w:val="continue"/>
            <w:tcBorders>
              <w:left w:val="single" w:color="auto" w:sz="4" w:space="0"/>
              <w:right w:val="single" w:color="auto" w:sz="4" w:space="0"/>
            </w:tcBorders>
            <w:vAlign w:val="center"/>
          </w:tcPr>
          <w:p>
            <w:pPr>
              <w:pStyle w:val="17"/>
              <w:rPr>
                <w:rFonts w:hint="eastAsia"/>
                <w:highlight w:val="none"/>
              </w:rPr>
            </w:pP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考察海外华侨社团在国内办事机构完成率</w:t>
            </w:r>
          </w:p>
        </w:tc>
        <w:tc>
          <w:tcPr>
            <w:tcW w:w="1487"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c>
          <w:tcPr>
            <w:tcW w:w="144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34"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02" w:type="pct"/>
            <w:vMerge w:val="continue"/>
            <w:tcBorders>
              <w:left w:val="single" w:color="auto" w:sz="4" w:space="0"/>
              <w:bottom w:val="single" w:color="auto" w:sz="4" w:space="0"/>
              <w:right w:val="single" w:color="auto" w:sz="4" w:space="0"/>
            </w:tcBorders>
            <w:vAlign w:val="center"/>
          </w:tcPr>
          <w:p>
            <w:pPr>
              <w:pStyle w:val="17"/>
              <w:rPr>
                <w:rFonts w:hint="eastAsia"/>
                <w:highlight w:val="none"/>
              </w:rPr>
            </w:pP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海外华侨在国内受荣完成率</w:t>
            </w:r>
          </w:p>
        </w:tc>
        <w:tc>
          <w:tcPr>
            <w:tcW w:w="1487"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c>
          <w:tcPr>
            <w:tcW w:w="144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3</w:t>
            </w:r>
          </w:p>
        </w:tc>
      </w:tr>
      <w:tr>
        <w:tblPrEx>
          <w:tblCellMar>
            <w:top w:w="0" w:type="dxa"/>
            <w:left w:w="108" w:type="dxa"/>
            <w:bottom w:w="0" w:type="dxa"/>
            <w:right w:w="108" w:type="dxa"/>
          </w:tblCellMar>
        </w:tblPrEx>
        <w:trPr>
          <w:trHeight w:val="567" w:hRule="atLeast"/>
          <w:jc w:val="center"/>
        </w:trPr>
        <w:tc>
          <w:tcPr>
            <w:tcW w:w="734"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02" w:type="pct"/>
            <w:vMerge w:val="restart"/>
            <w:tcBorders>
              <w:top w:val="single" w:color="auto" w:sz="4" w:space="0"/>
              <w:left w:val="single" w:color="auto" w:sz="4" w:space="0"/>
              <w:right w:val="single" w:color="auto" w:sz="4" w:space="0"/>
            </w:tcBorders>
            <w:vAlign w:val="center"/>
          </w:tcPr>
          <w:p>
            <w:pPr>
              <w:pStyle w:val="17"/>
              <w:rPr>
                <w:rFonts w:hint="eastAsia" w:eastAsia="仿宋"/>
                <w:highlight w:val="none"/>
                <w:lang w:val="en-US" w:eastAsia="zh-CN"/>
              </w:rPr>
            </w:pPr>
            <w:r>
              <w:rPr>
                <w:rFonts w:hint="eastAsia"/>
                <w:highlight w:val="none"/>
                <w:lang w:val="en-US" w:eastAsia="zh-CN"/>
              </w:rPr>
              <w:t>时效指标</w:t>
            </w: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邀请海外重点华侨代表及时性</w:t>
            </w:r>
          </w:p>
        </w:tc>
        <w:tc>
          <w:tcPr>
            <w:tcW w:w="1487"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2</w:t>
            </w:r>
          </w:p>
        </w:tc>
        <w:tc>
          <w:tcPr>
            <w:tcW w:w="144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2</w:t>
            </w:r>
          </w:p>
        </w:tc>
      </w:tr>
      <w:tr>
        <w:tblPrEx>
          <w:tblCellMar>
            <w:top w:w="0" w:type="dxa"/>
            <w:left w:w="108" w:type="dxa"/>
            <w:bottom w:w="0" w:type="dxa"/>
            <w:right w:w="108" w:type="dxa"/>
          </w:tblCellMar>
        </w:tblPrEx>
        <w:trPr>
          <w:trHeight w:val="567" w:hRule="atLeast"/>
          <w:jc w:val="center"/>
        </w:trPr>
        <w:tc>
          <w:tcPr>
            <w:tcW w:w="734"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02" w:type="pct"/>
            <w:vMerge w:val="continue"/>
            <w:tcBorders>
              <w:left w:val="single" w:color="auto" w:sz="4" w:space="0"/>
              <w:right w:val="single" w:color="auto" w:sz="4" w:space="0"/>
            </w:tcBorders>
            <w:vAlign w:val="center"/>
          </w:tcPr>
          <w:p>
            <w:pPr>
              <w:pStyle w:val="17"/>
              <w:rPr>
                <w:rFonts w:hint="eastAsia"/>
                <w:highlight w:val="none"/>
              </w:rPr>
            </w:pP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华侨和重点代表人士慰问及时性</w:t>
            </w:r>
          </w:p>
        </w:tc>
        <w:tc>
          <w:tcPr>
            <w:tcW w:w="1487"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2</w:t>
            </w:r>
          </w:p>
        </w:tc>
        <w:tc>
          <w:tcPr>
            <w:tcW w:w="144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2</w:t>
            </w:r>
          </w:p>
        </w:tc>
      </w:tr>
      <w:tr>
        <w:tblPrEx>
          <w:tblCellMar>
            <w:top w:w="0" w:type="dxa"/>
            <w:left w:w="108" w:type="dxa"/>
            <w:bottom w:w="0" w:type="dxa"/>
            <w:right w:w="108" w:type="dxa"/>
          </w:tblCellMar>
        </w:tblPrEx>
        <w:trPr>
          <w:trHeight w:val="567" w:hRule="atLeast"/>
          <w:jc w:val="center"/>
        </w:trPr>
        <w:tc>
          <w:tcPr>
            <w:tcW w:w="734"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02" w:type="pct"/>
            <w:vMerge w:val="continue"/>
            <w:tcBorders>
              <w:left w:val="single" w:color="auto" w:sz="4" w:space="0"/>
              <w:right w:val="single" w:color="auto" w:sz="4" w:space="0"/>
            </w:tcBorders>
            <w:vAlign w:val="center"/>
          </w:tcPr>
          <w:p>
            <w:pPr>
              <w:pStyle w:val="17"/>
              <w:rPr>
                <w:rFonts w:hint="eastAsia"/>
                <w:highlight w:val="none"/>
              </w:rPr>
            </w:pP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华侨和重点代表人选拔及时性</w:t>
            </w:r>
          </w:p>
        </w:tc>
        <w:tc>
          <w:tcPr>
            <w:tcW w:w="1487"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2</w:t>
            </w:r>
          </w:p>
        </w:tc>
        <w:tc>
          <w:tcPr>
            <w:tcW w:w="144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2</w:t>
            </w:r>
          </w:p>
        </w:tc>
      </w:tr>
      <w:tr>
        <w:tblPrEx>
          <w:tblCellMar>
            <w:top w:w="0" w:type="dxa"/>
            <w:left w:w="108" w:type="dxa"/>
            <w:bottom w:w="0" w:type="dxa"/>
            <w:right w:w="108" w:type="dxa"/>
          </w:tblCellMar>
        </w:tblPrEx>
        <w:trPr>
          <w:trHeight w:val="567" w:hRule="atLeast"/>
          <w:jc w:val="center"/>
        </w:trPr>
        <w:tc>
          <w:tcPr>
            <w:tcW w:w="734"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02" w:type="pct"/>
            <w:vMerge w:val="continue"/>
            <w:tcBorders>
              <w:left w:val="single" w:color="auto" w:sz="4" w:space="0"/>
              <w:right w:val="single" w:color="auto" w:sz="4" w:space="0"/>
            </w:tcBorders>
            <w:vAlign w:val="center"/>
          </w:tcPr>
          <w:p>
            <w:pPr>
              <w:pStyle w:val="17"/>
              <w:rPr>
                <w:rFonts w:hint="eastAsia"/>
                <w:highlight w:val="none"/>
              </w:rPr>
            </w:pP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考察海外华侨社团在国内办事机构及时性</w:t>
            </w:r>
          </w:p>
        </w:tc>
        <w:tc>
          <w:tcPr>
            <w:tcW w:w="1487"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2</w:t>
            </w:r>
          </w:p>
        </w:tc>
        <w:tc>
          <w:tcPr>
            <w:tcW w:w="144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2</w:t>
            </w:r>
          </w:p>
        </w:tc>
      </w:tr>
      <w:tr>
        <w:tblPrEx>
          <w:tblCellMar>
            <w:top w:w="0" w:type="dxa"/>
            <w:left w:w="108" w:type="dxa"/>
            <w:bottom w:w="0" w:type="dxa"/>
            <w:right w:w="108" w:type="dxa"/>
          </w:tblCellMar>
        </w:tblPrEx>
        <w:trPr>
          <w:trHeight w:val="567" w:hRule="atLeast"/>
          <w:jc w:val="center"/>
        </w:trPr>
        <w:tc>
          <w:tcPr>
            <w:tcW w:w="734"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02" w:type="pct"/>
            <w:vMerge w:val="continue"/>
            <w:tcBorders>
              <w:left w:val="single" w:color="auto" w:sz="4" w:space="0"/>
              <w:bottom w:val="single" w:color="auto" w:sz="4" w:space="0"/>
              <w:right w:val="single" w:color="auto" w:sz="4" w:space="0"/>
            </w:tcBorders>
            <w:vAlign w:val="center"/>
          </w:tcPr>
          <w:p>
            <w:pPr>
              <w:pStyle w:val="17"/>
              <w:rPr>
                <w:rFonts w:hint="eastAsia"/>
                <w:highlight w:val="none"/>
              </w:rPr>
            </w:pP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海外华侨在国内受荣及时性</w:t>
            </w:r>
          </w:p>
        </w:tc>
        <w:tc>
          <w:tcPr>
            <w:tcW w:w="1487"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2</w:t>
            </w:r>
          </w:p>
        </w:tc>
        <w:tc>
          <w:tcPr>
            <w:tcW w:w="144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2</w:t>
            </w:r>
          </w:p>
        </w:tc>
      </w:tr>
      <w:tr>
        <w:tblPrEx>
          <w:tblCellMar>
            <w:top w:w="0" w:type="dxa"/>
            <w:left w:w="108" w:type="dxa"/>
            <w:bottom w:w="0" w:type="dxa"/>
            <w:right w:w="108" w:type="dxa"/>
          </w:tblCellMar>
        </w:tblPrEx>
        <w:trPr>
          <w:trHeight w:val="567" w:hRule="atLeast"/>
          <w:jc w:val="center"/>
        </w:trPr>
        <w:tc>
          <w:tcPr>
            <w:tcW w:w="734" w:type="pct"/>
            <w:vMerge w:val="continue"/>
            <w:tcBorders>
              <w:left w:val="single" w:color="auto" w:sz="4" w:space="0"/>
              <w:bottom w:val="single" w:color="000000" w:sz="4" w:space="0"/>
              <w:right w:val="single" w:color="auto" w:sz="4" w:space="0"/>
            </w:tcBorders>
            <w:vAlign w:val="center"/>
          </w:tcPr>
          <w:p>
            <w:pPr>
              <w:pStyle w:val="17"/>
              <w:rPr>
                <w:rFonts w:hint="eastAsia"/>
                <w:highlight w:val="none"/>
                <w:lang w:val="en-US" w:eastAsia="zh-CN"/>
              </w:rPr>
            </w:pPr>
          </w:p>
        </w:tc>
        <w:tc>
          <w:tcPr>
            <w:tcW w:w="902" w:type="pct"/>
            <w:tcBorders>
              <w:top w:val="single" w:color="auto" w:sz="4" w:space="0"/>
              <w:left w:val="single" w:color="auto" w:sz="4" w:space="0"/>
              <w:bottom w:val="single" w:color="auto" w:sz="4" w:space="0"/>
              <w:right w:val="single" w:color="auto" w:sz="4" w:space="0"/>
            </w:tcBorders>
            <w:vAlign w:val="center"/>
          </w:tcPr>
          <w:p>
            <w:pPr>
              <w:pStyle w:val="17"/>
              <w:rPr>
                <w:rFonts w:hint="eastAsia" w:eastAsia="仿宋"/>
                <w:highlight w:val="none"/>
                <w:lang w:val="en-US" w:eastAsia="zh-CN"/>
              </w:rPr>
            </w:pPr>
            <w:r>
              <w:rPr>
                <w:rFonts w:hint="eastAsia"/>
                <w:highlight w:val="none"/>
                <w:lang w:val="en-US" w:eastAsia="zh-CN"/>
              </w:rPr>
              <w:t>成本指标</w:t>
            </w: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不超总预算</w:t>
            </w:r>
          </w:p>
        </w:tc>
        <w:tc>
          <w:tcPr>
            <w:tcW w:w="1487"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5</w:t>
            </w:r>
          </w:p>
        </w:tc>
        <w:tc>
          <w:tcPr>
            <w:tcW w:w="144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5</w:t>
            </w:r>
          </w:p>
        </w:tc>
      </w:tr>
      <w:tr>
        <w:tblPrEx>
          <w:tblCellMar>
            <w:top w:w="0" w:type="dxa"/>
            <w:left w:w="108" w:type="dxa"/>
            <w:bottom w:w="0" w:type="dxa"/>
            <w:right w:w="108" w:type="dxa"/>
          </w:tblCellMar>
        </w:tblPrEx>
        <w:trPr>
          <w:trHeight w:val="567" w:hRule="atLeast"/>
          <w:jc w:val="center"/>
        </w:trPr>
        <w:tc>
          <w:tcPr>
            <w:tcW w:w="734" w:type="pct"/>
            <w:vMerge w:val="restart"/>
            <w:tcBorders>
              <w:left w:val="single" w:color="auto" w:sz="4" w:space="0"/>
              <w:right w:val="single" w:color="auto" w:sz="4" w:space="0"/>
            </w:tcBorders>
            <w:vAlign w:val="center"/>
          </w:tcPr>
          <w:p>
            <w:pPr>
              <w:pStyle w:val="17"/>
              <w:rPr>
                <w:rFonts w:hint="default"/>
                <w:highlight w:val="none"/>
                <w:lang w:val="en-US" w:eastAsia="zh-CN"/>
              </w:rPr>
            </w:pPr>
            <w:r>
              <w:rPr>
                <w:rFonts w:hint="eastAsia"/>
                <w:highlight w:val="none"/>
                <w:lang w:val="en-US" w:eastAsia="zh-CN"/>
              </w:rPr>
              <w:t>效益指标</w:t>
            </w:r>
          </w:p>
        </w:tc>
        <w:tc>
          <w:tcPr>
            <w:tcW w:w="902" w:type="pct"/>
            <w:vMerge w:val="restart"/>
            <w:tcBorders>
              <w:top w:val="single" w:color="auto" w:sz="4" w:space="0"/>
              <w:left w:val="single" w:color="auto" w:sz="4" w:space="0"/>
              <w:right w:val="single" w:color="auto" w:sz="4" w:space="0"/>
            </w:tcBorders>
            <w:vAlign w:val="center"/>
          </w:tcPr>
          <w:p>
            <w:pPr>
              <w:pStyle w:val="17"/>
              <w:rPr>
                <w:rFonts w:hint="eastAsia" w:eastAsia="仿宋"/>
                <w:highlight w:val="none"/>
                <w:lang w:val="en-US" w:eastAsia="zh-CN"/>
              </w:rPr>
            </w:pPr>
            <w:r>
              <w:rPr>
                <w:rFonts w:hint="eastAsia"/>
                <w:highlight w:val="none"/>
                <w:lang w:val="en-US" w:eastAsia="zh-CN"/>
              </w:rPr>
              <w:t>社会效益指标</w:t>
            </w: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让广大海外侨胞了解祖国的发展成就，提升海外侨胞的爱国意识</w:t>
            </w:r>
          </w:p>
        </w:tc>
        <w:tc>
          <w:tcPr>
            <w:tcW w:w="1487"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10</w:t>
            </w:r>
          </w:p>
        </w:tc>
        <w:tc>
          <w:tcPr>
            <w:tcW w:w="144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9</w:t>
            </w:r>
          </w:p>
        </w:tc>
      </w:tr>
      <w:tr>
        <w:tblPrEx>
          <w:tblCellMar>
            <w:top w:w="0" w:type="dxa"/>
            <w:left w:w="108" w:type="dxa"/>
            <w:bottom w:w="0" w:type="dxa"/>
            <w:right w:w="108" w:type="dxa"/>
          </w:tblCellMar>
        </w:tblPrEx>
        <w:trPr>
          <w:trHeight w:val="567" w:hRule="atLeast"/>
          <w:jc w:val="center"/>
        </w:trPr>
        <w:tc>
          <w:tcPr>
            <w:tcW w:w="734" w:type="pct"/>
            <w:vMerge w:val="continue"/>
            <w:tcBorders>
              <w:left w:val="single" w:color="auto" w:sz="4" w:space="0"/>
              <w:right w:val="single" w:color="auto" w:sz="4" w:space="0"/>
            </w:tcBorders>
            <w:vAlign w:val="center"/>
          </w:tcPr>
          <w:p>
            <w:pPr>
              <w:pStyle w:val="17"/>
              <w:rPr>
                <w:rFonts w:hint="eastAsia"/>
                <w:highlight w:val="none"/>
                <w:lang w:val="en-US" w:eastAsia="zh-CN"/>
              </w:rPr>
            </w:pPr>
          </w:p>
        </w:tc>
        <w:tc>
          <w:tcPr>
            <w:tcW w:w="902" w:type="pct"/>
            <w:vMerge w:val="continue"/>
            <w:tcBorders>
              <w:left w:val="single" w:color="auto" w:sz="4" w:space="0"/>
              <w:bottom w:val="single" w:color="auto" w:sz="4" w:space="0"/>
              <w:right w:val="single" w:color="auto" w:sz="4" w:space="0"/>
            </w:tcBorders>
            <w:vAlign w:val="center"/>
          </w:tcPr>
          <w:p>
            <w:pPr>
              <w:pStyle w:val="17"/>
              <w:rPr>
                <w:rFonts w:hint="eastAsia" w:eastAsia="仿宋"/>
                <w:highlight w:val="none"/>
                <w:lang w:val="en-US" w:eastAsia="zh-CN"/>
              </w:rPr>
            </w:pP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发挥海外侨胞独特作用，促进一带一路共建</w:t>
            </w:r>
          </w:p>
        </w:tc>
        <w:tc>
          <w:tcPr>
            <w:tcW w:w="1487"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10</w:t>
            </w:r>
          </w:p>
        </w:tc>
        <w:tc>
          <w:tcPr>
            <w:tcW w:w="144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9</w:t>
            </w:r>
          </w:p>
        </w:tc>
      </w:tr>
      <w:tr>
        <w:tblPrEx>
          <w:tblCellMar>
            <w:top w:w="0" w:type="dxa"/>
            <w:left w:w="108" w:type="dxa"/>
            <w:bottom w:w="0" w:type="dxa"/>
            <w:right w:w="108" w:type="dxa"/>
          </w:tblCellMar>
        </w:tblPrEx>
        <w:trPr>
          <w:trHeight w:val="567" w:hRule="atLeast"/>
          <w:jc w:val="center"/>
        </w:trPr>
        <w:tc>
          <w:tcPr>
            <w:tcW w:w="734" w:type="pct"/>
            <w:vMerge w:val="continue"/>
            <w:tcBorders>
              <w:left w:val="single" w:color="auto" w:sz="4" w:space="0"/>
              <w:bottom w:val="single" w:color="000000" w:sz="4" w:space="0"/>
              <w:right w:val="single" w:color="auto" w:sz="4" w:space="0"/>
            </w:tcBorders>
            <w:vAlign w:val="center"/>
          </w:tcPr>
          <w:p>
            <w:pPr>
              <w:pStyle w:val="17"/>
              <w:rPr>
                <w:rFonts w:hint="eastAsia"/>
                <w:highlight w:val="none"/>
                <w:lang w:val="en-US" w:eastAsia="zh-CN"/>
              </w:rPr>
            </w:pPr>
          </w:p>
        </w:tc>
        <w:tc>
          <w:tcPr>
            <w:tcW w:w="902" w:type="pct"/>
            <w:tcBorders>
              <w:top w:val="single" w:color="auto" w:sz="4" w:space="0"/>
              <w:left w:val="single" w:color="auto" w:sz="4" w:space="0"/>
              <w:bottom w:val="single" w:color="auto" w:sz="4" w:space="0"/>
              <w:right w:val="single" w:color="auto" w:sz="4" w:space="0"/>
            </w:tcBorders>
            <w:vAlign w:val="center"/>
          </w:tcPr>
          <w:p>
            <w:pPr>
              <w:pStyle w:val="17"/>
              <w:rPr>
                <w:rFonts w:hint="eastAsia"/>
                <w:highlight w:val="none"/>
              </w:rPr>
            </w:pPr>
            <w:r>
              <w:rPr>
                <w:rFonts w:hint="eastAsia"/>
                <w:highlight w:val="none"/>
                <w:lang w:val="en-US" w:eastAsia="zh-CN"/>
              </w:rPr>
              <w:t>可持续影响指标</w:t>
            </w: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提升中国内地在海外的影响力，扩大对外开放，促进转型发展，深化友好合作</w:t>
            </w:r>
          </w:p>
        </w:tc>
        <w:tc>
          <w:tcPr>
            <w:tcW w:w="1487"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10</w:t>
            </w:r>
          </w:p>
        </w:tc>
        <w:tc>
          <w:tcPr>
            <w:tcW w:w="144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734" w:type="pct"/>
            <w:tcBorders>
              <w:left w:val="single" w:color="auto" w:sz="4" w:space="0"/>
              <w:bottom w:val="single" w:color="000000" w:sz="4" w:space="0"/>
              <w:right w:val="single" w:color="auto" w:sz="4" w:space="0"/>
            </w:tcBorders>
            <w:vAlign w:val="center"/>
          </w:tcPr>
          <w:p>
            <w:pPr>
              <w:pStyle w:val="17"/>
              <w:rPr>
                <w:highlight w:val="none"/>
              </w:rPr>
            </w:pPr>
            <w:r>
              <w:rPr>
                <w:rFonts w:hint="eastAsia"/>
                <w:highlight w:val="none"/>
              </w:rPr>
              <w:t>满意度</w:t>
            </w:r>
          </w:p>
          <w:p>
            <w:pPr>
              <w:pStyle w:val="17"/>
              <w:ind w:firstLine="0" w:firstLineChars="0"/>
              <w:rPr>
                <w:rFonts w:hint="eastAsia" w:eastAsia="仿宋"/>
                <w:highlight w:val="none"/>
                <w:lang w:val="en-US" w:eastAsia="zh-CN"/>
              </w:rPr>
            </w:pPr>
            <w:r>
              <w:rPr>
                <w:rFonts w:hint="eastAsia"/>
                <w:highlight w:val="none"/>
              </w:rPr>
              <w:t>指标</w:t>
            </w:r>
          </w:p>
        </w:tc>
        <w:tc>
          <w:tcPr>
            <w:tcW w:w="902" w:type="pct"/>
            <w:tcBorders>
              <w:top w:val="single" w:color="auto" w:sz="4" w:space="0"/>
              <w:left w:val="single" w:color="auto" w:sz="4" w:space="0"/>
              <w:bottom w:val="single" w:color="auto" w:sz="4" w:space="0"/>
              <w:right w:val="single" w:color="auto" w:sz="4" w:space="0"/>
            </w:tcBorders>
            <w:vAlign w:val="center"/>
          </w:tcPr>
          <w:p>
            <w:pPr>
              <w:pStyle w:val="17"/>
              <w:ind w:firstLine="0" w:firstLineChars="0"/>
              <w:rPr>
                <w:highlight w:val="none"/>
              </w:rPr>
            </w:pPr>
            <w:r>
              <w:rPr>
                <w:rFonts w:hint="eastAsia"/>
                <w:highlight w:val="none"/>
              </w:rPr>
              <w:t>服务对象满意度指标</w:t>
            </w:r>
          </w:p>
        </w:tc>
        <w:tc>
          <w:tcPr>
            <w:tcW w:w="1714" w:type="pct"/>
            <w:tcBorders>
              <w:top w:val="single" w:color="auto" w:sz="4" w:space="0"/>
              <w:left w:val="nil"/>
              <w:bottom w:val="single" w:color="auto" w:sz="4" w:space="0"/>
              <w:right w:val="single" w:color="auto" w:sz="4" w:space="0"/>
            </w:tcBorders>
            <w:shd w:val="clear" w:color="auto" w:fill="auto"/>
            <w:vAlign w:val="center"/>
          </w:tcPr>
          <w:p>
            <w:pPr>
              <w:pStyle w:val="17"/>
              <w:rPr>
                <w:rFonts w:hint="eastAsia"/>
                <w:highlight w:val="none"/>
                <w:lang w:val="en-US" w:eastAsia="zh-CN"/>
              </w:rPr>
            </w:pPr>
            <w:r>
              <w:rPr>
                <w:rFonts w:hint="eastAsia"/>
                <w:highlight w:val="none"/>
                <w:lang w:val="en-US" w:eastAsia="zh-CN"/>
              </w:rPr>
              <w:t>华侨和归侨满意度</w:t>
            </w:r>
          </w:p>
        </w:tc>
        <w:tc>
          <w:tcPr>
            <w:tcW w:w="1487"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default"/>
                <w:highlight w:val="none"/>
                <w:lang w:val="en-US" w:eastAsia="zh-CN"/>
              </w:rPr>
            </w:pPr>
            <w:r>
              <w:rPr>
                <w:rFonts w:hint="eastAsia"/>
                <w:highlight w:val="none"/>
                <w:lang w:val="en-US" w:eastAsia="zh-CN"/>
              </w:rPr>
              <w:t>10</w:t>
            </w:r>
          </w:p>
        </w:tc>
        <w:tc>
          <w:tcPr>
            <w:tcW w:w="144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17"/>
              <w:rPr>
                <w:rFonts w:hint="default"/>
                <w:highlight w:val="none"/>
                <w:lang w:val="en-US" w:eastAsia="zh-CN"/>
              </w:rPr>
            </w:pPr>
            <w:r>
              <w:rPr>
                <w:rFonts w:hint="eastAsia"/>
                <w:highlight w:val="none"/>
                <w:lang w:val="en-US" w:eastAsia="zh-CN"/>
              </w:rPr>
              <w:t>10</w:t>
            </w:r>
          </w:p>
        </w:tc>
      </w:tr>
      <w:tr>
        <w:tblPrEx>
          <w:tblCellMar>
            <w:top w:w="0" w:type="dxa"/>
            <w:left w:w="108" w:type="dxa"/>
            <w:bottom w:w="0" w:type="dxa"/>
            <w:right w:w="108" w:type="dxa"/>
          </w:tblCellMar>
        </w:tblPrEx>
        <w:trPr>
          <w:trHeight w:val="567" w:hRule="atLeast"/>
          <w:jc w:val="center"/>
        </w:trPr>
        <w:tc>
          <w:tcPr>
            <w:tcW w:w="3351"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pStyle w:val="17"/>
              <w:rPr>
                <w:highlight w:val="none"/>
              </w:rPr>
            </w:pPr>
            <w:r>
              <w:rPr>
                <w:rFonts w:hint="eastAsia"/>
                <w:highlight w:val="none"/>
              </w:rPr>
              <w:t>总分</w:t>
            </w:r>
          </w:p>
        </w:tc>
        <w:tc>
          <w:tcPr>
            <w:tcW w:w="836" w:type="pct"/>
            <w:tcBorders>
              <w:top w:val="single" w:color="auto" w:sz="4" w:space="0"/>
              <w:left w:val="nil"/>
              <w:bottom w:val="single" w:color="auto" w:sz="4" w:space="0"/>
              <w:right w:val="single" w:color="auto" w:sz="4" w:space="0"/>
            </w:tcBorders>
            <w:shd w:val="clear" w:color="auto" w:fill="auto"/>
            <w:noWrap/>
            <w:vAlign w:val="center"/>
          </w:tcPr>
          <w:p>
            <w:pPr>
              <w:pStyle w:val="17"/>
              <w:rPr>
                <w:highlight w:val="none"/>
              </w:rPr>
            </w:pPr>
            <w:r>
              <w:rPr>
                <w:rFonts w:hint="eastAsia"/>
                <w:highlight w:val="none"/>
              </w:rPr>
              <w:t>1</w:t>
            </w:r>
            <w:r>
              <w:rPr>
                <w:highlight w:val="none"/>
              </w:rPr>
              <w:t>00</w:t>
            </w:r>
          </w:p>
        </w:tc>
        <w:tc>
          <w:tcPr>
            <w:tcW w:w="811" w:type="pct"/>
            <w:tcBorders>
              <w:top w:val="single" w:color="auto" w:sz="4" w:space="0"/>
              <w:left w:val="nil"/>
              <w:bottom w:val="single" w:color="auto" w:sz="4" w:space="0"/>
              <w:right w:val="single" w:color="auto" w:sz="4" w:space="0"/>
            </w:tcBorders>
            <w:shd w:val="clear" w:color="auto" w:fill="auto"/>
            <w:noWrap/>
            <w:vAlign w:val="center"/>
          </w:tcPr>
          <w:p>
            <w:pPr>
              <w:pStyle w:val="17"/>
              <w:rPr>
                <w:rFonts w:hint="default" w:eastAsia="仿宋"/>
                <w:highlight w:val="none"/>
                <w:lang w:val="en-US" w:eastAsia="zh-CN"/>
              </w:rPr>
            </w:pPr>
            <w:r>
              <w:rPr>
                <w:rFonts w:hint="eastAsia"/>
                <w:highlight w:val="none"/>
                <w:lang w:val="en-US" w:eastAsia="zh-CN"/>
              </w:rPr>
              <w:t>91</w:t>
            </w:r>
          </w:p>
        </w:tc>
      </w:tr>
    </w:tbl>
    <w:p>
      <w:pPr>
        <w:pStyle w:val="4"/>
        <w:rPr>
          <w:highlight w:val="none"/>
        </w:rPr>
      </w:pPr>
      <w:bookmarkStart w:id="42" w:name="_Toc17534"/>
      <w:bookmarkStart w:id="43" w:name="_Toc31442"/>
      <w:bookmarkStart w:id="44" w:name="_Toc79333445"/>
      <w:r>
        <w:rPr>
          <w:rFonts w:hint="eastAsia"/>
          <w:highlight w:val="none"/>
        </w:rPr>
        <w:t>（二）自评指标分析</w:t>
      </w:r>
      <w:bookmarkEnd w:id="42"/>
      <w:bookmarkEnd w:id="43"/>
      <w:bookmarkEnd w:id="44"/>
    </w:p>
    <w:p>
      <w:pPr>
        <w:pStyle w:val="5"/>
        <w:ind w:firstLine="643"/>
      </w:pPr>
      <w:bookmarkStart w:id="45" w:name="_Toc79333446"/>
      <w:bookmarkStart w:id="46" w:name="_Toc9747"/>
      <w:r>
        <w:rPr>
          <w:rFonts w:hint="eastAsia"/>
        </w:rPr>
        <w:t>1、预算执行指标分析</w:t>
      </w:r>
      <w:bookmarkEnd w:id="45"/>
      <w:bookmarkEnd w:id="46"/>
    </w:p>
    <w:p>
      <w:pPr>
        <w:ind w:firstLine="640"/>
        <w:rPr>
          <w:highlight w:val="none"/>
        </w:rPr>
      </w:pPr>
      <w:r>
        <w:rPr>
          <w:rFonts w:hint="eastAsia"/>
        </w:rPr>
        <w:t>一级指标“预算执行”下设一个二级指标和</w:t>
      </w:r>
      <w:r>
        <w:rPr>
          <w:rFonts w:hint="eastAsia"/>
          <w:highlight w:val="none"/>
        </w:rPr>
        <w:t>一个三级指标，均为“预算执行率”，该指标标准分值</w:t>
      </w:r>
      <w:r>
        <w:rPr>
          <w:highlight w:val="none"/>
        </w:rPr>
        <w:t>10分，实际得分</w:t>
      </w:r>
      <w:r>
        <w:rPr>
          <w:rFonts w:hint="eastAsia"/>
          <w:highlight w:val="none"/>
          <w:lang w:val="en-US" w:eastAsia="zh-CN"/>
        </w:rPr>
        <w:t>10</w:t>
      </w:r>
      <w:r>
        <w:rPr>
          <w:rFonts w:hint="eastAsia"/>
          <w:highlight w:val="none"/>
        </w:rPr>
        <w:t>分。</w:t>
      </w:r>
    </w:p>
    <w:p>
      <w:pPr>
        <w:ind w:firstLine="640"/>
        <w:rPr>
          <w:highlight w:val="none"/>
        </w:rPr>
      </w:pPr>
      <w:r>
        <w:rPr>
          <w:rFonts w:hint="eastAsia"/>
          <w:highlight w:val="none"/>
        </w:rPr>
        <w:t>项目全年预算资金为</w:t>
      </w:r>
      <w:r>
        <w:rPr>
          <w:rFonts w:hint="eastAsia"/>
          <w:highlight w:val="none"/>
          <w:lang w:val="en-US" w:eastAsia="zh-CN"/>
        </w:rPr>
        <w:t>3.23</w:t>
      </w:r>
      <w:r>
        <w:rPr>
          <w:rFonts w:hint="eastAsia"/>
          <w:highlight w:val="none"/>
        </w:rPr>
        <w:t>万元，全年执行数为</w:t>
      </w:r>
      <w:r>
        <w:rPr>
          <w:rFonts w:hint="eastAsia"/>
          <w:highlight w:val="none"/>
          <w:lang w:val="en-US" w:eastAsia="zh-CN"/>
        </w:rPr>
        <w:t>3.23</w:t>
      </w:r>
      <w:r>
        <w:rPr>
          <w:rFonts w:hint="eastAsia"/>
          <w:highlight w:val="none"/>
        </w:rPr>
        <w:t>万元，预算执行率</w:t>
      </w:r>
      <w:r>
        <w:rPr>
          <w:rFonts w:hint="eastAsia"/>
          <w:highlight w:val="none"/>
          <w:lang w:val="en-US" w:eastAsia="zh-CN"/>
        </w:rPr>
        <w:t>100</w:t>
      </w:r>
      <w:r>
        <w:rPr>
          <w:highlight w:val="none"/>
        </w:rPr>
        <w:t>%，根据评分标准，预算执行率得分</w:t>
      </w:r>
      <w:r>
        <w:rPr>
          <w:rFonts w:hint="eastAsia"/>
          <w:highlight w:val="none"/>
          <w:lang w:val="en-US" w:eastAsia="zh-CN"/>
        </w:rPr>
        <w:t>10</w:t>
      </w:r>
      <w:r>
        <w:rPr>
          <w:rFonts w:hint="eastAsia"/>
          <w:highlight w:val="none"/>
        </w:rPr>
        <w:t>分。</w:t>
      </w:r>
    </w:p>
    <w:p>
      <w:pPr>
        <w:pStyle w:val="5"/>
        <w:ind w:firstLine="643"/>
      </w:pPr>
      <w:bookmarkStart w:id="47" w:name="_Toc79333447"/>
      <w:r>
        <w:rPr>
          <w:rFonts w:hint="eastAsia"/>
        </w:rPr>
        <w:t>2、产出指标分析</w:t>
      </w:r>
      <w:bookmarkEnd w:id="47"/>
    </w:p>
    <w:p>
      <w:pPr>
        <w:ind w:firstLine="640"/>
        <w:rPr>
          <w:rFonts w:hint="eastAsia"/>
        </w:rPr>
      </w:pPr>
      <w:r>
        <w:rPr>
          <w:rFonts w:hint="eastAsia"/>
        </w:rPr>
        <w:t>一级指标“产出指标”下设四个二级指标分别是：“数量指标”、“质量指标”、“时效指标”和“成本指标”。</w:t>
      </w:r>
    </w:p>
    <w:p>
      <w:pPr>
        <w:ind w:firstLine="640"/>
        <w:rPr>
          <w:rFonts w:hint="eastAsia"/>
          <w:highlight w:val="none"/>
        </w:rPr>
      </w:pPr>
      <w:r>
        <w:rPr>
          <w:rFonts w:hint="eastAsia"/>
          <w:highlight w:val="none"/>
        </w:rPr>
        <w:t>（1）数量指标</w:t>
      </w:r>
    </w:p>
    <w:p>
      <w:pPr>
        <w:ind w:firstLine="640"/>
        <w:rPr>
          <w:rFonts w:hint="eastAsia"/>
          <w:highlight w:val="none"/>
        </w:rPr>
      </w:pPr>
      <w:r>
        <w:rPr>
          <w:rFonts w:hint="eastAsia"/>
          <w:highlight w:val="none"/>
        </w:rPr>
        <w:t>“数量指标”下设</w:t>
      </w:r>
      <w:r>
        <w:rPr>
          <w:rFonts w:hint="eastAsia"/>
          <w:highlight w:val="none"/>
          <w:lang w:val="en-US" w:eastAsia="zh-CN"/>
        </w:rPr>
        <w:t>五</w:t>
      </w:r>
      <w:r>
        <w:rPr>
          <w:rFonts w:hint="eastAsia"/>
          <w:highlight w:val="none"/>
        </w:rPr>
        <w:t>个三级指标“邀请海外重点华侨代表批次”、“华侨和重点代表人士慰问人数”、“华侨和重点代表人选拔人数”</w:t>
      </w:r>
      <w:r>
        <w:rPr>
          <w:rFonts w:hint="eastAsia"/>
          <w:highlight w:val="none"/>
          <w:lang w:eastAsia="zh-CN"/>
        </w:rPr>
        <w:t>、“考察海外华侨社团在国内办事机构次数”</w:t>
      </w:r>
      <w:r>
        <w:rPr>
          <w:rFonts w:hint="eastAsia"/>
          <w:highlight w:val="none"/>
        </w:rPr>
        <w:t>和“海外华侨在国内受荣人数”。</w:t>
      </w:r>
    </w:p>
    <w:p>
      <w:pPr>
        <w:pStyle w:val="2"/>
        <w:rPr>
          <w:rFonts w:hint="eastAsia"/>
          <w:highlight w:val="none"/>
        </w:rPr>
      </w:pPr>
      <w:r>
        <w:rPr>
          <w:rFonts w:hint="eastAsia"/>
          <w:highlight w:val="none"/>
        </w:rPr>
        <w:t>截止2021年12月31日，因2021年海外疫情继续呈现高发和多国多地多次反复情况，国内疫情形势受海外影响不断在各地出现输入性感染病例，给承办大型活动带来较大风险。邀请海外重点华侨代表</w:t>
      </w:r>
      <w:r>
        <w:rPr>
          <w:rFonts w:hint="eastAsia"/>
          <w:highlight w:val="none"/>
          <w:lang w:val="en-US" w:eastAsia="zh-CN"/>
        </w:rPr>
        <w:t>2</w:t>
      </w:r>
      <w:r>
        <w:rPr>
          <w:rFonts w:hint="eastAsia"/>
          <w:highlight w:val="none"/>
        </w:rPr>
        <w:t>批次</w:t>
      </w:r>
      <w:r>
        <w:rPr>
          <w:rFonts w:hint="eastAsia"/>
          <w:highlight w:val="none"/>
          <w:lang w:eastAsia="zh-CN"/>
        </w:rPr>
        <w:t>，</w:t>
      </w:r>
      <w:r>
        <w:rPr>
          <w:rFonts w:hint="eastAsia"/>
          <w:highlight w:val="none"/>
          <w:lang w:val="en-US" w:eastAsia="zh-CN"/>
        </w:rPr>
        <w:t>未完成预期指标</w:t>
      </w:r>
      <w:r>
        <w:rPr>
          <w:rFonts w:hint="eastAsia"/>
          <w:highlight w:val="none"/>
          <w:lang w:eastAsia="zh-CN"/>
        </w:rPr>
        <w:t>；考察海外华侨社团在国内办事机构次数</w:t>
      </w:r>
      <w:r>
        <w:rPr>
          <w:rFonts w:hint="eastAsia"/>
          <w:highlight w:val="none"/>
          <w:lang w:val="en-US" w:eastAsia="zh-CN"/>
        </w:rPr>
        <w:t>2次，未完成预期指标</w:t>
      </w:r>
      <w:r>
        <w:rPr>
          <w:rFonts w:hint="eastAsia"/>
          <w:highlight w:val="none"/>
          <w:lang w:eastAsia="zh-CN"/>
        </w:rPr>
        <w:t>；</w:t>
      </w:r>
      <w:r>
        <w:rPr>
          <w:rFonts w:hint="eastAsia"/>
          <w:highlight w:val="none"/>
        </w:rPr>
        <w:t>华侨和重点代表人士慰问人数</w:t>
      </w:r>
      <w:r>
        <w:rPr>
          <w:rFonts w:hint="eastAsia"/>
          <w:highlight w:val="none"/>
          <w:lang w:val="en-US" w:eastAsia="zh-CN"/>
        </w:rPr>
        <w:t>达到40多人，实现预期指标；</w:t>
      </w:r>
      <w:r>
        <w:rPr>
          <w:rFonts w:hint="eastAsia"/>
          <w:highlight w:val="none"/>
        </w:rPr>
        <w:t>华侨和重点代表人选拔人数</w:t>
      </w:r>
      <w:r>
        <w:rPr>
          <w:rFonts w:hint="eastAsia"/>
          <w:highlight w:val="none"/>
          <w:lang w:val="en-US" w:eastAsia="zh-CN"/>
        </w:rPr>
        <w:t>5人，完成预期指标；</w:t>
      </w:r>
      <w:r>
        <w:rPr>
          <w:rFonts w:hint="eastAsia"/>
          <w:highlight w:val="none"/>
        </w:rPr>
        <w:t>海外华侨在国内受荣人数</w:t>
      </w:r>
      <w:r>
        <w:rPr>
          <w:rFonts w:hint="eastAsia"/>
          <w:highlight w:val="none"/>
          <w:lang w:val="en-US" w:eastAsia="zh-CN"/>
        </w:rPr>
        <w:t>12人，完成预期指标</w:t>
      </w:r>
      <w:r>
        <w:rPr>
          <w:rFonts w:hint="eastAsia"/>
          <w:highlight w:val="none"/>
          <w:lang w:eastAsia="zh-CN"/>
        </w:rPr>
        <w:t>。</w:t>
      </w:r>
    </w:p>
    <w:p>
      <w:pPr>
        <w:ind w:firstLine="640"/>
        <w:rPr>
          <w:rFonts w:hint="eastAsia"/>
          <w:highlight w:val="none"/>
        </w:rPr>
      </w:pPr>
      <w:r>
        <w:rPr>
          <w:rFonts w:hint="eastAsia"/>
          <w:highlight w:val="none"/>
        </w:rPr>
        <w:t>综上所述，根据评分标准，数量指标标准分值</w:t>
      </w:r>
      <w:r>
        <w:rPr>
          <w:rFonts w:hint="eastAsia"/>
          <w:highlight w:val="none"/>
          <w:lang w:val="en-US" w:eastAsia="zh-CN"/>
        </w:rPr>
        <w:t>20</w:t>
      </w:r>
      <w:r>
        <w:rPr>
          <w:rFonts w:hint="eastAsia"/>
          <w:highlight w:val="none"/>
        </w:rPr>
        <w:t>分，实际得</w:t>
      </w:r>
      <w:r>
        <w:rPr>
          <w:rFonts w:hint="eastAsia"/>
          <w:highlight w:val="none"/>
          <w:lang w:val="en-US" w:eastAsia="zh-CN"/>
        </w:rPr>
        <w:t>13</w:t>
      </w:r>
      <w:r>
        <w:rPr>
          <w:rFonts w:hint="eastAsia"/>
          <w:highlight w:val="none"/>
        </w:rPr>
        <w:t>分。</w:t>
      </w:r>
    </w:p>
    <w:p>
      <w:pPr>
        <w:ind w:firstLine="640"/>
        <w:rPr>
          <w:rFonts w:hint="eastAsia"/>
          <w:highlight w:val="none"/>
        </w:rPr>
      </w:pPr>
      <w:r>
        <w:rPr>
          <w:rFonts w:hint="eastAsia"/>
          <w:highlight w:val="none"/>
        </w:rPr>
        <w:t>（2）质量指标</w:t>
      </w:r>
    </w:p>
    <w:p>
      <w:pPr>
        <w:ind w:firstLine="640"/>
        <w:rPr>
          <w:rFonts w:hint="eastAsia"/>
          <w:highlight w:val="none"/>
        </w:rPr>
      </w:pPr>
      <w:r>
        <w:rPr>
          <w:rFonts w:hint="eastAsia"/>
          <w:highlight w:val="none"/>
        </w:rPr>
        <w:t>“质量指标”下设</w:t>
      </w:r>
      <w:r>
        <w:rPr>
          <w:rFonts w:hint="eastAsia"/>
          <w:highlight w:val="none"/>
          <w:lang w:val="en-US" w:eastAsia="zh-CN"/>
        </w:rPr>
        <w:t>五</w:t>
      </w:r>
      <w:r>
        <w:rPr>
          <w:rFonts w:hint="eastAsia"/>
          <w:highlight w:val="none"/>
        </w:rPr>
        <w:t>个三级指标“邀请海外重点华侨代表完成率”、“华侨和重点代表人士慰问完成率”、“华侨和重点代表人选拔完成率”</w:t>
      </w:r>
      <w:r>
        <w:rPr>
          <w:rFonts w:hint="eastAsia"/>
          <w:highlight w:val="none"/>
          <w:lang w:eastAsia="zh-CN"/>
        </w:rPr>
        <w:t>、“考察海外华侨社团在国内办事机构完成率”</w:t>
      </w:r>
      <w:r>
        <w:rPr>
          <w:rFonts w:hint="eastAsia"/>
          <w:highlight w:val="none"/>
          <w:lang w:val="en-US" w:eastAsia="zh-CN"/>
        </w:rPr>
        <w:t>和“海外华侨在国内受荣完成率”</w:t>
      </w:r>
      <w:r>
        <w:rPr>
          <w:rFonts w:hint="eastAsia"/>
          <w:highlight w:val="none"/>
        </w:rPr>
        <w:t>。</w:t>
      </w:r>
    </w:p>
    <w:p>
      <w:pPr>
        <w:ind w:firstLine="640"/>
        <w:rPr>
          <w:rFonts w:hint="eastAsia"/>
          <w:highlight w:val="none"/>
        </w:rPr>
      </w:pPr>
      <w:r>
        <w:rPr>
          <w:rFonts w:hint="eastAsia"/>
          <w:highlight w:val="none"/>
        </w:rPr>
        <w:t>截止2021年12月31日，因2021年海外疫情继续呈现高发和多国多地多次反复情况，国内疫情形势受海外影响不断在各地出现输入性感染病例，给承办大型活动带来较大风险。邀请海外重点华侨代表2批次，考察海外华侨社团在国内办事机构次数2次，华侨和重点代表人士慰问人数达到40多人，华侨和重点代表人选拔人数5人，海外华侨在国内受荣人数12人，活动均已圆满完成，完成预期指标。</w:t>
      </w:r>
    </w:p>
    <w:p>
      <w:pPr>
        <w:ind w:firstLine="640"/>
        <w:rPr>
          <w:rFonts w:hint="eastAsia"/>
          <w:highlight w:val="none"/>
        </w:rPr>
      </w:pPr>
      <w:r>
        <w:rPr>
          <w:rFonts w:hint="eastAsia"/>
          <w:highlight w:val="none"/>
        </w:rPr>
        <w:t>综上所述，根据评分标准，质量指标标准分值1</w:t>
      </w:r>
      <w:r>
        <w:rPr>
          <w:rFonts w:hint="eastAsia"/>
          <w:highlight w:val="none"/>
          <w:lang w:val="en-US" w:eastAsia="zh-CN"/>
        </w:rPr>
        <w:t>5</w:t>
      </w:r>
      <w:r>
        <w:rPr>
          <w:rFonts w:hint="eastAsia"/>
          <w:highlight w:val="none"/>
        </w:rPr>
        <w:t>分，实际得1</w:t>
      </w:r>
      <w:r>
        <w:rPr>
          <w:rFonts w:hint="eastAsia"/>
          <w:highlight w:val="none"/>
          <w:lang w:val="en-US" w:eastAsia="zh-CN"/>
        </w:rPr>
        <w:t>5</w:t>
      </w:r>
      <w:r>
        <w:rPr>
          <w:rFonts w:hint="eastAsia"/>
          <w:highlight w:val="none"/>
        </w:rPr>
        <w:t>分。</w:t>
      </w:r>
    </w:p>
    <w:p>
      <w:pPr>
        <w:ind w:firstLine="640"/>
        <w:rPr>
          <w:rFonts w:hint="eastAsia"/>
          <w:highlight w:val="none"/>
        </w:rPr>
      </w:pPr>
      <w:r>
        <w:rPr>
          <w:rFonts w:hint="eastAsia"/>
          <w:highlight w:val="none"/>
        </w:rPr>
        <w:t>（3）时效指标</w:t>
      </w:r>
    </w:p>
    <w:p>
      <w:pPr>
        <w:ind w:firstLine="640"/>
        <w:rPr>
          <w:rFonts w:hint="eastAsia"/>
          <w:highlight w:val="none"/>
        </w:rPr>
      </w:pPr>
      <w:r>
        <w:rPr>
          <w:rFonts w:hint="eastAsia"/>
          <w:highlight w:val="none"/>
        </w:rPr>
        <w:t>“时效指标”下设</w:t>
      </w:r>
      <w:r>
        <w:rPr>
          <w:rFonts w:hint="eastAsia"/>
          <w:highlight w:val="none"/>
          <w:lang w:val="en-US" w:eastAsia="zh-CN"/>
        </w:rPr>
        <w:t>五</w:t>
      </w:r>
      <w:r>
        <w:rPr>
          <w:rFonts w:hint="eastAsia"/>
          <w:highlight w:val="none"/>
        </w:rPr>
        <w:t>个三级指标“邀请海外重点华侨代表及时性”、“华侨和重点代表人士慰问及时性”、“华侨和重点代表人选拔及时性”</w:t>
      </w:r>
      <w:r>
        <w:rPr>
          <w:rFonts w:hint="eastAsia"/>
          <w:highlight w:val="none"/>
          <w:lang w:eastAsia="zh-CN"/>
        </w:rPr>
        <w:t>、“考察海外华侨社团在国内办事机构及时性”</w:t>
      </w:r>
      <w:r>
        <w:rPr>
          <w:rFonts w:hint="eastAsia"/>
          <w:highlight w:val="none"/>
          <w:lang w:val="en-US" w:eastAsia="zh-CN"/>
        </w:rPr>
        <w:t>和“海外华侨在国内受荣及时性”</w:t>
      </w:r>
      <w:r>
        <w:rPr>
          <w:rFonts w:hint="eastAsia"/>
          <w:highlight w:val="none"/>
        </w:rPr>
        <w:t>。</w:t>
      </w:r>
    </w:p>
    <w:p>
      <w:pPr>
        <w:ind w:firstLine="640"/>
        <w:rPr>
          <w:rFonts w:hint="eastAsia" w:eastAsia="仿宋"/>
          <w:highlight w:val="none"/>
          <w:lang w:eastAsia="zh-CN"/>
        </w:rPr>
      </w:pPr>
      <w:r>
        <w:rPr>
          <w:rFonts w:hint="eastAsia"/>
          <w:highlight w:val="none"/>
        </w:rPr>
        <w:t>截止2021年12月31日，因2021年海外疫情继续呈现高发和多国多地多次反复情况，国内疫情形势受海外影响不断在各地出现输入性感染病例，给承办大型活动带来较大风险。邀请海外重点华侨代表2批次，考察海外华侨社团在国内办事机构次数2次，华侨和重点代表人士慰问人数达到40多人，活动均</w:t>
      </w:r>
      <w:r>
        <w:rPr>
          <w:rFonts w:hint="eastAsia"/>
          <w:highlight w:val="none"/>
          <w:lang w:val="en-US" w:eastAsia="zh-CN"/>
        </w:rPr>
        <w:t>按时</w:t>
      </w:r>
      <w:r>
        <w:rPr>
          <w:rFonts w:hint="eastAsia"/>
          <w:highlight w:val="none"/>
        </w:rPr>
        <w:t>圆满完成</w:t>
      </w:r>
      <w:r>
        <w:rPr>
          <w:rFonts w:hint="eastAsia"/>
          <w:highlight w:val="none"/>
          <w:lang w:eastAsia="zh-CN"/>
        </w:rPr>
        <w:t>；</w:t>
      </w:r>
      <w:r>
        <w:rPr>
          <w:rFonts w:hint="eastAsia"/>
          <w:highlight w:val="none"/>
        </w:rPr>
        <w:t>华侨和重点代表人选拔人数5人</w:t>
      </w:r>
      <w:r>
        <w:rPr>
          <w:rFonts w:hint="eastAsia"/>
          <w:highlight w:val="none"/>
          <w:lang w:eastAsia="zh-CN"/>
        </w:rPr>
        <w:t>，</w:t>
      </w:r>
      <w:r>
        <w:rPr>
          <w:rFonts w:hint="eastAsia"/>
          <w:highlight w:val="none"/>
          <w:lang w:val="en-US" w:eastAsia="zh-CN"/>
        </w:rPr>
        <w:t>在2021年第一季度和第四季度已按时完成相关工作</w:t>
      </w:r>
      <w:r>
        <w:rPr>
          <w:rFonts w:hint="eastAsia"/>
          <w:highlight w:val="none"/>
          <w:lang w:eastAsia="zh-CN"/>
        </w:rPr>
        <w:t>；</w:t>
      </w:r>
      <w:r>
        <w:rPr>
          <w:rFonts w:hint="eastAsia"/>
          <w:highlight w:val="none"/>
        </w:rPr>
        <w:t>海外华侨在国内受荣人数12人，</w:t>
      </w:r>
      <w:r>
        <w:rPr>
          <w:rFonts w:hint="eastAsia"/>
          <w:highlight w:val="none"/>
          <w:lang w:val="en-US" w:eastAsia="zh-CN"/>
        </w:rPr>
        <w:t>在第四季度已按时完成相关工作，均达到</w:t>
      </w:r>
      <w:r>
        <w:rPr>
          <w:rFonts w:hint="eastAsia"/>
          <w:highlight w:val="none"/>
        </w:rPr>
        <w:t>预期指标</w:t>
      </w:r>
      <w:r>
        <w:rPr>
          <w:rFonts w:hint="eastAsia"/>
          <w:highlight w:val="none"/>
          <w:lang w:eastAsia="zh-CN"/>
        </w:rPr>
        <w:t>。</w:t>
      </w:r>
    </w:p>
    <w:p>
      <w:pPr>
        <w:ind w:firstLine="640"/>
        <w:rPr>
          <w:rFonts w:hint="eastAsia"/>
          <w:highlight w:val="none"/>
        </w:rPr>
      </w:pPr>
      <w:r>
        <w:rPr>
          <w:rFonts w:hint="eastAsia"/>
          <w:highlight w:val="none"/>
        </w:rPr>
        <w:t>综上所述，根据评分标准，时效指标标准分值</w:t>
      </w:r>
      <w:r>
        <w:rPr>
          <w:rFonts w:hint="eastAsia"/>
          <w:highlight w:val="none"/>
          <w:lang w:val="en-US" w:eastAsia="zh-CN"/>
        </w:rPr>
        <w:t>10</w:t>
      </w:r>
      <w:r>
        <w:rPr>
          <w:rFonts w:hint="eastAsia"/>
          <w:highlight w:val="none"/>
        </w:rPr>
        <w:t>分，实际得</w:t>
      </w:r>
      <w:r>
        <w:rPr>
          <w:rFonts w:hint="eastAsia"/>
          <w:highlight w:val="none"/>
          <w:lang w:val="en-US" w:eastAsia="zh-CN"/>
        </w:rPr>
        <w:t>10</w:t>
      </w:r>
      <w:r>
        <w:rPr>
          <w:rFonts w:hint="eastAsia"/>
          <w:highlight w:val="none"/>
        </w:rPr>
        <w:t>分。</w:t>
      </w:r>
    </w:p>
    <w:p>
      <w:pPr>
        <w:ind w:firstLine="640"/>
        <w:rPr>
          <w:highlight w:val="none"/>
        </w:rPr>
      </w:pPr>
      <w:r>
        <w:rPr>
          <w:rFonts w:hint="eastAsia"/>
          <w:highlight w:val="none"/>
        </w:rPr>
        <w:t>（</w:t>
      </w:r>
      <w:r>
        <w:rPr>
          <w:rFonts w:hint="eastAsia"/>
          <w:highlight w:val="none"/>
          <w:lang w:val="en-US" w:eastAsia="zh-CN"/>
        </w:rPr>
        <w:t>4</w:t>
      </w:r>
      <w:r>
        <w:rPr>
          <w:rFonts w:hint="eastAsia"/>
          <w:highlight w:val="none"/>
        </w:rPr>
        <w:t>）成本指标</w:t>
      </w:r>
    </w:p>
    <w:p>
      <w:pPr>
        <w:ind w:firstLine="640"/>
        <w:rPr>
          <w:rFonts w:hint="eastAsia" w:eastAsia="仿宋"/>
          <w:highlight w:val="none"/>
          <w:lang w:eastAsia="zh-CN"/>
        </w:rPr>
      </w:pPr>
      <w:r>
        <w:rPr>
          <w:rFonts w:hint="eastAsia"/>
          <w:highlight w:val="none"/>
        </w:rPr>
        <w:t>“</w:t>
      </w:r>
      <w:r>
        <w:rPr>
          <w:rFonts w:hint="eastAsia"/>
          <w:highlight w:val="none"/>
          <w:lang w:val="en-US" w:eastAsia="zh-CN"/>
        </w:rPr>
        <w:t>成本指标</w:t>
      </w:r>
      <w:r>
        <w:rPr>
          <w:rFonts w:hint="eastAsia"/>
          <w:highlight w:val="none"/>
        </w:rPr>
        <w:t>”下设</w:t>
      </w:r>
      <w:r>
        <w:rPr>
          <w:rFonts w:hint="eastAsia"/>
          <w:highlight w:val="none"/>
          <w:lang w:val="en-US" w:eastAsia="zh-CN"/>
        </w:rPr>
        <w:t>一</w:t>
      </w:r>
      <w:r>
        <w:rPr>
          <w:rFonts w:hint="eastAsia"/>
          <w:highlight w:val="none"/>
        </w:rPr>
        <w:t>个三级指标</w:t>
      </w:r>
      <w:r>
        <w:rPr>
          <w:rFonts w:hint="eastAsia"/>
          <w:highlight w:val="none"/>
          <w:lang w:eastAsia="zh-CN"/>
        </w:rPr>
        <w:t>：“</w:t>
      </w:r>
      <w:r>
        <w:rPr>
          <w:rFonts w:hint="eastAsia"/>
          <w:highlight w:val="none"/>
          <w:lang w:val="en-US" w:eastAsia="zh-CN"/>
        </w:rPr>
        <w:t>不超总预算</w:t>
      </w:r>
      <w:r>
        <w:rPr>
          <w:rFonts w:hint="eastAsia"/>
          <w:highlight w:val="none"/>
          <w:lang w:eastAsia="zh-CN"/>
        </w:rPr>
        <w:t>”</w:t>
      </w:r>
    </w:p>
    <w:p>
      <w:pPr>
        <w:ind w:firstLine="640"/>
        <w:rPr>
          <w:highlight w:val="none"/>
        </w:rPr>
      </w:pPr>
      <w:r>
        <w:rPr>
          <w:rFonts w:hint="eastAsia"/>
          <w:highlight w:val="none"/>
        </w:rPr>
        <w:t>2</w:t>
      </w:r>
      <w:r>
        <w:rPr>
          <w:highlight w:val="none"/>
        </w:rPr>
        <w:t>02</w:t>
      </w:r>
      <w:r>
        <w:rPr>
          <w:rFonts w:hint="eastAsia"/>
          <w:highlight w:val="none"/>
          <w:lang w:val="en-US" w:eastAsia="zh-CN"/>
        </w:rPr>
        <w:t>1</w:t>
      </w:r>
      <w:r>
        <w:rPr>
          <w:rFonts w:hint="eastAsia"/>
          <w:highlight w:val="none"/>
        </w:rPr>
        <w:t>年项目财政资金</w:t>
      </w:r>
      <w:r>
        <w:rPr>
          <w:rFonts w:hint="eastAsia"/>
          <w:highlight w:val="none"/>
          <w:lang w:val="en-US" w:eastAsia="zh-CN"/>
        </w:rPr>
        <w:t>3.23</w:t>
      </w:r>
      <w:r>
        <w:rPr>
          <w:rFonts w:hint="eastAsia"/>
          <w:highlight w:val="none"/>
        </w:rPr>
        <w:t>万元，实际支出</w:t>
      </w:r>
      <w:r>
        <w:rPr>
          <w:rFonts w:hint="eastAsia"/>
          <w:highlight w:val="none"/>
          <w:lang w:val="en-US" w:eastAsia="zh-CN"/>
        </w:rPr>
        <w:t>3.23</w:t>
      </w:r>
      <w:r>
        <w:rPr>
          <w:highlight w:val="none"/>
        </w:rPr>
        <w:t>万元</w:t>
      </w:r>
      <w:r>
        <w:rPr>
          <w:rFonts w:hint="eastAsia"/>
          <w:highlight w:val="none"/>
        </w:rPr>
        <w:t>，未超出预算批复金额，因此该项指标标准分值</w:t>
      </w:r>
      <w:r>
        <w:rPr>
          <w:rFonts w:hint="eastAsia"/>
          <w:highlight w:val="none"/>
          <w:lang w:val="en-US" w:eastAsia="zh-CN"/>
        </w:rPr>
        <w:t>5</w:t>
      </w:r>
      <w:r>
        <w:rPr>
          <w:rFonts w:hint="eastAsia"/>
          <w:highlight w:val="none"/>
        </w:rPr>
        <w:t>分，得</w:t>
      </w:r>
      <w:r>
        <w:rPr>
          <w:rFonts w:hint="eastAsia"/>
          <w:highlight w:val="none"/>
          <w:lang w:val="en-US" w:eastAsia="zh-CN"/>
        </w:rPr>
        <w:t>5</w:t>
      </w:r>
      <w:r>
        <w:rPr>
          <w:rFonts w:hint="eastAsia"/>
          <w:highlight w:val="none"/>
        </w:rPr>
        <w:t>分。</w:t>
      </w:r>
    </w:p>
    <w:p>
      <w:pPr>
        <w:pStyle w:val="5"/>
        <w:ind w:firstLine="643"/>
      </w:pPr>
      <w:bookmarkStart w:id="48" w:name="_Toc79333448"/>
      <w:r>
        <w:t>3、效益指标分析</w:t>
      </w:r>
      <w:bookmarkEnd w:id="48"/>
    </w:p>
    <w:p>
      <w:pPr>
        <w:ind w:firstLine="640"/>
        <w:rPr>
          <w:rFonts w:hint="eastAsia"/>
        </w:rPr>
      </w:pPr>
      <w:r>
        <w:rPr>
          <w:rFonts w:hint="eastAsia"/>
        </w:rPr>
        <w:t>“效益指标”</w:t>
      </w:r>
      <w:r>
        <w:rPr>
          <w:rFonts w:hint="eastAsia"/>
          <w:highlight w:val="none"/>
        </w:rPr>
        <w:t>下设</w:t>
      </w:r>
      <w:r>
        <w:rPr>
          <w:rFonts w:hint="eastAsia"/>
          <w:highlight w:val="none"/>
          <w:lang w:val="en-US" w:eastAsia="zh-CN"/>
        </w:rPr>
        <w:t>两</w:t>
      </w:r>
      <w:r>
        <w:rPr>
          <w:rFonts w:hint="eastAsia"/>
          <w:highlight w:val="none"/>
        </w:rPr>
        <w:t>个二级指标，分别为“社会效益</w:t>
      </w:r>
      <w:r>
        <w:rPr>
          <w:rFonts w:hint="eastAsia"/>
          <w:highlight w:val="none"/>
          <w:lang w:val="en-US" w:eastAsia="zh-CN"/>
        </w:rPr>
        <w:t>指标</w:t>
      </w:r>
      <w:r>
        <w:rPr>
          <w:rFonts w:hint="eastAsia"/>
          <w:highlight w:val="none"/>
        </w:rPr>
        <w:t>”</w:t>
      </w:r>
      <w:r>
        <w:rPr>
          <w:rFonts w:hint="eastAsia"/>
          <w:highlight w:val="none"/>
          <w:lang w:val="en-US" w:eastAsia="zh-CN"/>
        </w:rPr>
        <w:t>和</w:t>
      </w:r>
      <w:r>
        <w:rPr>
          <w:rFonts w:hint="eastAsia"/>
          <w:highlight w:val="none"/>
        </w:rPr>
        <w:t>“可持续影响</w:t>
      </w:r>
      <w:r>
        <w:rPr>
          <w:rFonts w:hint="eastAsia"/>
          <w:highlight w:val="none"/>
          <w:lang w:val="en-US" w:eastAsia="zh-CN"/>
        </w:rPr>
        <w:t>指标</w:t>
      </w:r>
      <w:r>
        <w:rPr>
          <w:rFonts w:hint="eastAsia"/>
          <w:highlight w:val="none"/>
        </w:rPr>
        <w:t>”。</w:t>
      </w:r>
    </w:p>
    <w:p>
      <w:pPr>
        <w:ind w:firstLine="640"/>
        <w:rPr>
          <w:rFonts w:hint="eastAsia"/>
          <w:highlight w:val="none"/>
        </w:rPr>
      </w:pPr>
      <w:r>
        <w:rPr>
          <w:rFonts w:hint="eastAsia"/>
        </w:rPr>
        <w:t>（1）社会效益</w:t>
      </w:r>
    </w:p>
    <w:p>
      <w:pPr>
        <w:ind w:firstLine="640"/>
        <w:rPr>
          <w:highlight w:val="none"/>
        </w:rPr>
      </w:pPr>
      <w:r>
        <w:rPr>
          <w:rFonts w:hint="eastAsia"/>
          <w:highlight w:val="none"/>
        </w:rPr>
        <w:t>“社会效益”下设</w:t>
      </w:r>
      <w:r>
        <w:rPr>
          <w:rFonts w:hint="eastAsia"/>
          <w:highlight w:val="none"/>
          <w:lang w:val="en-US" w:eastAsia="zh-CN"/>
        </w:rPr>
        <w:t>两个</w:t>
      </w:r>
      <w:r>
        <w:rPr>
          <w:rFonts w:hint="eastAsia"/>
          <w:highlight w:val="none"/>
        </w:rPr>
        <w:t>三级指标“让广大海外侨胞了解祖国的发展成就，提升海外侨胞的爱国意识”</w:t>
      </w:r>
      <w:r>
        <w:rPr>
          <w:rFonts w:hint="eastAsia"/>
          <w:highlight w:val="none"/>
          <w:lang w:val="en-US" w:eastAsia="zh-CN"/>
        </w:rPr>
        <w:t>和“发挥海外侨胞独特作用，促进一带一路共建”</w:t>
      </w:r>
      <w:r>
        <w:rPr>
          <w:rFonts w:hint="eastAsia"/>
          <w:highlight w:val="none"/>
        </w:rPr>
        <w:t>。</w:t>
      </w:r>
    </w:p>
    <w:p>
      <w:pPr>
        <w:ind w:firstLine="640"/>
        <w:rPr>
          <w:rFonts w:hint="eastAsia"/>
          <w:highlight w:val="none"/>
        </w:rPr>
      </w:pPr>
      <w:r>
        <w:rPr>
          <w:rFonts w:hint="eastAsia"/>
          <w:highlight w:val="none"/>
        </w:rPr>
        <w:t>做好对外宣传和友好往来，联络联谊海外华侨华人，统筹协调与港澳地区的工作以及业务往来，服务归侨、侨眷，更好地发挥外事侨务和港澳工作在我市经济建设和社会发展中的作用。</w:t>
      </w:r>
      <w:r>
        <w:rPr>
          <w:rFonts w:hint="eastAsia"/>
          <w:highlight w:val="none"/>
          <w:lang w:val="en-US" w:eastAsia="zh-CN"/>
        </w:rPr>
        <w:t>项目的实施</w:t>
      </w:r>
      <w:r>
        <w:rPr>
          <w:rFonts w:hint="eastAsia"/>
          <w:highlight w:val="none"/>
        </w:rPr>
        <w:t>让广大海外侨胞了解祖国的发展成就，提升海外侨胞的爱国意识</w:t>
      </w:r>
      <w:r>
        <w:rPr>
          <w:rFonts w:hint="eastAsia"/>
          <w:highlight w:val="none"/>
          <w:lang w:eastAsia="zh-CN"/>
        </w:rPr>
        <w:t>，</w:t>
      </w:r>
      <w:r>
        <w:rPr>
          <w:rFonts w:hint="eastAsia"/>
          <w:highlight w:val="none"/>
        </w:rPr>
        <w:t>发挥海外侨胞独特作用，促进一带一路共建，</w:t>
      </w:r>
      <w:r>
        <w:rPr>
          <w:rFonts w:hint="eastAsia"/>
          <w:highlight w:val="none"/>
          <w:lang w:val="en-US" w:eastAsia="zh-CN"/>
        </w:rPr>
        <w:t>但因疫情原因，海外归侨相比往年减少，业务往来周期相对延长，</w:t>
      </w:r>
      <w:r>
        <w:rPr>
          <w:rFonts w:hint="eastAsia"/>
          <w:highlight w:val="none"/>
        </w:rPr>
        <w:t>项目产生社会效益达成预期指标，</w:t>
      </w:r>
      <w:r>
        <w:rPr>
          <w:rFonts w:hint="eastAsia"/>
          <w:highlight w:val="none"/>
          <w:lang w:val="en-US" w:eastAsia="zh-CN"/>
        </w:rPr>
        <w:t>但服务</w:t>
      </w:r>
      <w:r>
        <w:rPr>
          <w:rFonts w:hint="eastAsia"/>
          <w:highlight w:val="none"/>
        </w:rPr>
        <w:t>归侨、侨眷</w:t>
      </w:r>
      <w:r>
        <w:rPr>
          <w:rFonts w:hint="eastAsia"/>
          <w:highlight w:val="none"/>
          <w:lang w:val="en-US" w:eastAsia="zh-CN"/>
        </w:rPr>
        <w:t>质量有待提高，加强友人合作共建。</w:t>
      </w:r>
      <w:r>
        <w:rPr>
          <w:rFonts w:hint="eastAsia"/>
          <w:highlight w:val="none"/>
        </w:rPr>
        <w:t>该指标标准分值为</w:t>
      </w:r>
      <w:r>
        <w:rPr>
          <w:rFonts w:hint="eastAsia"/>
          <w:highlight w:val="none"/>
          <w:lang w:val="en-US" w:eastAsia="zh-CN"/>
        </w:rPr>
        <w:t>20</w:t>
      </w:r>
      <w:r>
        <w:rPr>
          <w:rFonts w:hint="eastAsia"/>
          <w:highlight w:val="none"/>
        </w:rPr>
        <w:t>分，实际综合得分为</w:t>
      </w:r>
      <w:r>
        <w:rPr>
          <w:rFonts w:hint="eastAsia"/>
          <w:highlight w:val="none"/>
          <w:lang w:val="en-US" w:eastAsia="zh-CN"/>
        </w:rPr>
        <w:t>18</w:t>
      </w:r>
      <w:r>
        <w:rPr>
          <w:rFonts w:hint="eastAsia"/>
          <w:highlight w:val="none"/>
        </w:rPr>
        <w:t>分。</w:t>
      </w:r>
    </w:p>
    <w:p>
      <w:pPr>
        <w:ind w:firstLine="640"/>
      </w:pPr>
      <w:r>
        <w:rPr>
          <w:rFonts w:hint="eastAsia"/>
        </w:rPr>
        <w:t>（</w:t>
      </w:r>
      <w:r>
        <w:t>2</w:t>
      </w:r>
      <w:r>
        <w:rPr>
          <w:rFonts w:hint="eastAsia"/>
        </w:rPr>
        <w:t>）可持续影响</w:t>
      </w:r>
    </w:p>
    <w:p>
      <w:pPr>
        <w:ind w:firstLine="640"/>
        <w:rPr>
          <w:highlight w:val="none"/>
        </w:rPr>
      </w:pPr>
      <w:r>
        <w:rPr>
          <w:rFonts w:hint="eastAsia"/>
          <w:highlight w:val="none"/>
        </w:rPr>
        <w:t>“可持续影响”下设</w:t>
      </w:r>
      <w:r>
        <w:rPr>
          <w:rFonts w:hint="eastAsia"/>
          <w:highlight w:val="none"/>
          <w:lang w:val="en-US" w:eastAsia="zh-CN"/>
        </w:rPr>
        <w:t>一个</w:t>
      </w:r>
      <w:r>
        <w:rPr>
          <w:rFonts w:hint="eastAsia"/>
          <w:highlight w:val="none"/>
        </w:rPr>
        <w:t>三级指标“提升中国内地在海外的影响力，扩大对外开放，促进转型发展，深化友好合作”。</w:t>
      </w:r>
    </w:p>
    <w:p>
      <w:pPr>
        <w:ind w:firstLine="640"/>
        <w:rPr>
          <w:rFonts w:hint="eastAsia"/>
          <w:highlight w:val="none"/>
        </w:rPr>
      </w:pPr>
      <w:r>
        <w:rPr>
          <w:rFonts w:hint="eastAsia"/>
          <w:highlight w:val="none"/>
          <w:lang w:val="en-US" w:eastAsia="zh-CN"/>
        </w:rPr>
        <w:t>项目实施以来，通过联合设立工作站，密切了解与海外侨团侨胞的联系；可以更好的为海外华侨华人讲好中国故事、展示黄河文化、讲好黄河故事搭建舞台，涵养和集聚华侨华人新生代力量，为下一步交流合作夯实基础；及时实时掌握海外侨情，</w:t>
      </w:r>
      <w:r>
        <w:rPr>
          <w:rFonts w:hint="eastAsia"/>
          <w:highlight w:val="none"/>
        </w:rPr>
        <w:t>提升中国内地在海外的影响力，扩大对外开放，促进转型发展，深化友好合作</w:t>
      </w:r>
      <w:r>
        <w:rPr>
          <w:rFonts w:hint="eastAsia"/>
          <w:highlight w:val="none"/>
          <w:lang w:eastAsia="zh-CN"/>
        </w:rPr>
        <w:t>。</w:t>
      </w:r>
      <w:r>
        <w:rPr>
          <w:rFonts w:hint="eastAsia"/>
          <w:highlight w:val="none"/>
        </w:rPr>
        <w:t>具有可持续影响效益，该指标标准分值为</w:t>
      </w:r>
      <w:r>
        <w:rPr>
          <w:rFonts w:hint="eastAsia"/>
          <w:highlight w:val="none"/>
          <w:lang w:val="en-US" w:eastAsia="zh-CN"/>
        </w:rPr>
        <w:t>10</w:t>
      </w:r>
      <w:r>
        <w:rPr>
          <w:rFonts w:hint="eastAsia"/>
          <w:highlight w:val="none"/>
        </w:rPr>
        <w:t>分，实际综合得分为</w:t>
      </w:r>
      <w:r>
        <w:rPr>
          <w:rFonts w:hint="eastAsia"/>
          <w:highlight w:val="none"/>
          <w:lang w:val="en-US" w:eastAsia="zh-CN"/>
        </w:rPr>
        <w:t>10</w:t>
      </w:r>
      <w:r>
        <w:rPr>
          <w:rFonts w:hint="eastAsia"/>
          <w:highlight w:val="none"/>
        </w:rPr>
        <w:t>分。</w:t>
      </w:r>
    </w:p>
    <w:p>
      <w:pPr>
        <w:pStyle w:val="5"/>
        <w:ind w:firstLine="643"/>
        <w:rPr>
          <w:highlight w:val="none"/>
        </w:rPr>
      </w:pPr>
      <w:bookmarkStart w:id="49" w:name="_Toc79333449"/>
      <w:r>
        <w:rPr>
          <w:highlight w:val="none"/>
        </w:rPr>
        <w:t>4、满意度指标分析</w:t>
      </w:r>
      <w:bookmarkEnd w:id="49"/>
    </w:p>
    <w:p>
      <w:pPr>
        <w:ind w:firstLine="640"/>
        <w:rPr>
          <w:highlight w:val="none"/>
        </w:rPr>
      </w:pPr>
      <w:r>
        <w:rPr>
          <w:rFonts w:hint="eastAsia"/>
          <w:highlight w:val="none"/>
        </w:rPr>
        <w:t>满意度：本项目调查华侨和归侨受益人群</w:t>
      </w:r>
      <w:r>
        <w:rPr>
          <w:rFonts w:hint="eastAsia"/>
          <w:highlight w:val="none"/>
          <w:lang w:val="en-US" w:eastAsia="zh-CN"/>
        </w:rPr>
        <w:t>130</w:t>
      </w:r>
      <w:r>
        <w:rPr>
          <w:rFonts w:hint="eastAsia"/>
          <w:highlight w:val="none"/>
        </w:rPr>
        <w:t>人，发放调查问卷</w:t>
      </w:r>
      <w:r>
        <w:rPr>
          <w:rFonts w:hint="eastAsia"/>
          <w:highlight w:val="none"/>
          <w:lang w:val="en-US" w:eastAsia="zh-CN"/>
        </w:rPr>
        <w:t>130</w:t>
      </w:r>
      <w:r>
        <w:rPr>
          <w:rFonts w:hint="eastAsia"/>
          <w:highlight w:val="none"/>
        </w:rPr>
        <w:t>份，回收</w:t>
      </w:r>
      <w:r>
        <w:rPr>
          <w:rFonts w:hint="eastAsia"/>
          <w:highlight w:val="none"/>
          <w:lang w:val="en-US" w:eastAsia="zh-CN"/>
        </w:rPr>
        <w:t>125</w:t>
      </w:r>
      <w:r>
        <w:rPr>
          <w:rFonts w:hint="eastAsia"/>
          <w:highlight w:val="none"/>
        </w:rPr>
        <w:t>份，其中有效问卷</w:t>
      </w:r>
      <w:r>
        <w:rPr>
          <w:rFonts w:hint="eastAsia"/>
          <w:highlight w:val="none"/>
          <w:lang w:val="en-US" w:eastAsia="zh-CN"/>
        </w:rPr>
        <w:t>120</w:t>
      </w:r>
      <w:r>
        <w:rPr>
          <w:rFonts w:hint="eastAsia"/>
          <w:highlight w:val="none"/>
        </w:rPr>
        <w:t>份。其中非常满意人数</w:t>
      </w:r>
      <w:r>
        <w:rPr>
          <w:rFonts w:hint="eastAsia"/>
          <w:highlight w:val="none"/>
          <w:lang w:val="en-US" w:eastAsia="zh-CN"/>
        </w:rPr>
        <w:t>116</w:t>
      </w:r>
      <w:r>
        <w:rPr>
          <w:rFonts w:hint="eastAsia"/>
          <w:highlight w:val="none"/>
        </w:rPr>
        <w:t>人，满意</w:t>
      </w:r>
      <w:r>
        <w:rPr>
          <w:rFonts w:hint="eastAsia"/>
          <w:highlight w:val="none"/>
          <w:lang w:val="en-US" w:eastAsia="zh-CN"/>
        </w:rPr>
        <w:t>4</w:t>
      </w:r>
      <w:r>
        <w:rPr>
          <w:rFonts w:hint="eastAsia"/>
          <w:highlight w:val="none"/>
        </w:rPr>
        <w:t>人，不满意</w:t>
      </w:r>
      <w:r>
        <w:rPr>
          <w:rFonts w:hint="eastAsia"/>
          <w:highlight w:val="none"/>
          <w:lang w:val="en-US" w:eastAsia="zh-CN"/>
        </w:rPr>
        <w:t>0</w:t>
      </w:r>
      <w:r>
        <w:rPr>
          <w:rFonts w:hint="eastAsia"/>
          <w:highlight w:val="none"/>
        </w:rPr>
        <w:t>人，综合满意度为</w:t>
      </w:r>
      <w:r>
        <w:rPr>
          <w:rFonts w:hint="eastAsia"/>
          <w:highlight w:val="none"/>
          <w:lang w:val="en-US" w:eastAsia="zh-CN"/>
        </w:rPr>
        <w:t>97</w:t>
      </w:r>
      <w:r>
        <w:rPr>
          <w:rFonts w:hint="eastAsia"/>
          <w:highlight w:val="none"/>
        </w:rPr>
        <w:t>%，根据评分标准，该项指标标准分值10分，得分为</w:t>
      </w:r>
      <w:r>
        <w:rPr>
          <w:rFonts w:hint="eastAsia"/>
          <w:highlight w:val="none"/>
          <w:lang w:val="en-US" w:eastAsia="zh-CN"/>
        </w:rPr>
        <w:t>1</w:t>
      </w:r>
      <w:r>
        <w:rPr>
          <w:rFonts w:hint="eastAsia"/>
          <w:highlight w:val="none"/>
        </w:rPr>
        <w:t>0分。</w:t>
      </w:r>
    </w:p>
    <w:p>
      <w:pPr>
        <w:pStyle w:val="3"/>
      </w:pPr>
      <w:bookmarkStart w:id="50" w:name="_Toc29830"/>
      <w:bookmarkStart w:id="51" w:name="_Toc79333450"/>
      <w:bookmarkStart w:id="52" w:name="_Toc19437"/>
      <w:r>
        <w:rPr>
          <w:rFonts w:hint="eastAsia"/>
        </w:rPr>
        <w:t>四、成果和问题</w:t>
      </w:r>
      <w:bookmarkEnd w:id="50"/>
      <w:bookmarkEnd w:id="51"/>
      <w:bookmarkEnd w:id="52"/>
    </w:p>
    <w:p>
      <w:pPr>
        <w:pStyle w:val="4"/>
      </w:pPr>
      <w:bookmarkStart w:id="53" w:name="_Toc79333451"/>
      <w:bookmarkStart w:id="54" w:name="_Toc18429"/>
      <w:r>
        <w:rPr>
          <w:rFonts w:hint="eastAsia"/>
        </w:rPr>
        <w:t>（一）项目实施的成果</w:t>
      </w:r>
      <w:bookmarkEnd w:id="53"/>
      <w:bookmarkEnd w:id="54"/>
    </w:p>
    <w:p>
      <w:pPr>
        <w:ind w:firstLine="640"/>
        <w:rPr>
          <w:highlight w:val="none"/>
        </w:rPr>
      </w:pPr>
      <w:r>
        <w:rPr>
          <w:rFonts w:hint="eastAsia"/>
          <w:highlight w:val="none"/>
        </w:rPr>
        <w:t>加强与有代表性河南籍侨领的日常联络，听取他们关于我市做好海外统战工作的建议，为我市做好海外统战工作提供依据。</w:t>
      </w:r>
    </w:p>
    <w:p>
      <w:pPr>
        <w:pStyle w:val="4"/>
        <w:rPr>
          <w:b/>
        </w:rPr>
      </w:pPr>
      <w:bookmarkStart w:id="55" w:name="_Toc79333452"/>
      <w:bookmarkStart w:id="56" w:name="_Toc25379"/>
      <w:r>
        <w:rPr>
          <w:rFonts w:hint="eastAsia"/>
          <w:highlight w:val="none"/>
        </w:rPr>
        <w:t>（二）项目存在</w:t>
      </w:r>
      <w:r>
        <w:rPr>
          <w:rFonts w:hint="eastAsia"/>
        </w:rPr>
        <w:t>的问题</w:t>
      </w:r>
      <w:bookmarkEnd w:id="55"/>
      <w:bookmarkEnd w:id="56"/>
    </w:p>
    <w:p>
      <w:pPr>
        <w:ind w:firstLine="643"/>
        <w:rPr>
          <w:b/>
          <w:highlight w:val="none"/>
        </w:rPr>
      </w:pPr>
      <w:r>
        <w:rPr>
          <w:rFonts w:hint="eastAsia"/>
          <w:b/>
          <w:highlight w:val="none"/>
        </w:rPr>
        <w:t>1、前期绩效管理意识薄弱</w:t>
      </w:r>
    </w:p>
    <w:p>
      <w:pPr>
        <w:ind w:firstLine="640"/>
        <w:rPr>
          <w:highlight w:val="none"/>
        </w:rPr>
      </w:pPr>
      <w:r>
        <w:rPr>
          <w:rFonts w:hint="eastAsia"/>
          <w:highlight w:val="none"/>
        </w:rPr>
        <w:t>我单位在进行绩效自评工作时，发现由于前期绩效管理意识薄弱，未及时对项目全部资料进行梳理备案统一保管，出现资料不全问题，导致项目自评依据不完整，评价结果不够准确。</w:t>
      </w:r>
    </w:p>
    <w:p>
      <w:pPr>
        <w:ind w:firstLine="643"/>
        <w:rPr>
          <w:b/>
          <w:highlight w:val="none"/>
        </w:rPr>
      </w:pPr>
      <w:r>
        <w:rPr>
          <w:rFonts w:hint="eastAsia"/>
          <w:b/>
          <w:highlight w:val="none"/>
        </w:rPr>
        <w:t>2、绩效管理水平有待进一步提高</w:t>
      </w:r>
    </w:p>
    <w:p>
      <w:pPr>
        <w:ind w:firstLine="640"/>
        <w:rPr>
          <w:rFonts w:hint="eastAsia"/>
          <w:highlight w:val="none"/>
        </w:rPr>
      </w:pPr>
      <w:r>
        <w:rPr>
          <w:rFonts w:hint="default"/>
          <w:highlight w:val="none"/>
          <w:lang w:val="zh-CN"/>
        </w:rPr>
        <w:t>因单位工作业务忙，对预算绩效管理工作重视程度还不足，缺乏主动性；对预算绩效管理工作的意义、框架、思路、操作规程认识不够深入，申报绩效目标不够明确，设计的评价指标体系不科学、不严谨。尽管市级已有绩效评价共性指标体系，但是对指标具体的设置设有统一的明确规定，没有针对性较强的个性评价指标体系可供预算单位借鉴。同时财政预算支出的范围在逐年扩大，新政策新情况不断出现，现有评价指标的针对性和适应性已降低，直接影响了绩效评价的质量。</w:t>
      </w:r>
    </w:p>
    <w:p>
      <w:pPr>
        <w:pStyle w:val="3"/>
        <w:rPr>
          <w:highlight w:val="none"/>
        </w:rPr>
      </w:pPr>
      <w:bookmarkStart w:id="57" w:name="_Toc27227"/>
      <w:bookmarkStart w:id="58" w:name="_Toc79333453"/>
      <w:bookmarkStart w:id="59" w:name="_Toc20582"/>
      <w:r>
        <w:rPr>
          <w:rFonts w:hint="eastAsia"/>
          <w:highlight w:val="none"/>
        </w:rPr>
        <w:t>五、建议</w:t>
      </w:r>
      <w:bookmarkEnd w:id="57"/>
      <w:bookmarkEnd w:id="58"/>
      <w:bookmarkEnd w:id="59"/>
    </w:p>
    <w:p>
      <w:pPr>
        <w:pStyle w:val="4"/>
        <w:rPr>
          <w:highlight w:val="none"/>
        </w:rPr>
      </w:pPr>
      <w:bookmarkStart w:id="60" w:name="_Toc79333454"/>
      <w:bookmarkStart w:id="61" w:name="_Toc18028"/>
      <w:r>
        <w:rPr>
          <w:rFonts w:hint="eastAsia"/>
          <w:highlight w:val="none"/>
        </w:rPr>
        <w:t>（一）强化预算绩效管理意识，提升项目产出效益</w:t>
      </w:r>
      <w:bookmarkEnd w:id="60"/>
      <w:bookmarkEnd w:id="61"/>
    </w:p>
    <w:p>
      <w:pPr>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我单位应按照全面实施预算绩效管理工作要求：牢固树立“花钱必有效，无效必问责”的预算绩效管理理念，加快推进全方位、全过程、全覆盖的预算绩效管理体系建设，积极推进全面实施预算绩效管理工作，提升预算绩效管理水平。为发挥好财政职能作用，必须按照全面深化改革的要求，提高单位绩效管理意识，使财政资金发挥真正的效益。</w:t>
      </w:r>
    </w:p>
    <w:p>
      <w:pPr>
        <w:pStyle w:val="4"/>
        <w:rPr>
          <w:rFonts w:hint="eastAsia"/>
          <w:highlight w:val="none"/>
        </w:rPr>
      </w:pPr>
      <w:bookmarkStart w:id="62" w:name="_Toc79333455"/>
      <w:bookmarkStart w:id="63" w:name="_Toc32028"/>
      <w:r>
        <w:rPr>
          <w:rFonts w:hint="eastAsia"/>
          <w:highlight w:val="none"/>
        </w:rPr>
        <w:t>（二）加强学习培训，进一步提高绩效管理水平</w:t>
      </w:r>
      <w:bookmarkEnd w:id="62"/>
      <w:bookmarkEnd w:id="63"/>
    </w:p>
    <w:p>
      <w:pPr>
        <w:ind w:firstLine="640"/>
        <w:rPr>
          <w:rFonts w:hint="default"/>
          <w:highlight w:val="none"/>
          <w:lang w:val="zh-CN"/>
        </w:rPr>
      </w:pPr>
      <w:r>
        <w:rPr>
          <w:rFonts w:hint="default"/>
          <w:highlight w:val="none"/>
          <w:lang w:val="zh-CN"/>
        </w:rPr>
        <w:t>一是切实加快预算执行进度，提升资金使用效率</w:t>
      </w:r>
    </w:p>
    <w:p>
      <w:pPr>
        <w:ind w:firstLine="640"/>
        <w:rPr>
          <w:rFonts w:hint="default"/>
          <w:highlight w:val="none"/>
          <w:lang w:val="zh-CN"/>
        </w:rPr>
      </w:pPr>
      <w:r>
        <w:rPr>
          <w:rFonts w:hint="default"/>
          <w:highlight w:val="none"/>
          <w:lang w:val="zh-CN"/>
        </w:rPr>
        <w:t>二是密切关注目标任务开展情况，确保实际工作切合绩效目标。</w:t>
      </w:r>
    </w:p>
    <w:p>
      <w:pPr>
        <w:ind w:firstLine="640"/>
      </w:pPr>
      <w:r>
        <w:rPr>
          <w:rFonts w:hint="default"/>
          <w:highlight w:val="none"/>
          <w:lang w:val="zh-CN"/>
        </w:rPr>
        <w:t>三是组织开展绩效评价学习财政支出是否符合国家现行的财政政策及相关财务方面的有关规定。</w:t>
      </w:r>
    </w:p>
    <w:p>
      <w:pPr>
        <w:pStyle w:val="3"/>
        <w:rPr>
          <w:highlight w:val="none"/>
        </w:rPr>
      </w:pPr>
      <w:bookmarkStart w:id="64" w:name="_Toc665"/>
      <w:bookmarkStart w:id="65" w:name="_Toc79333457"/>
      <w:bookmarkStart w:id="66" w:name="_Toc22579"/>
      <w:r>
        <w:rPr>
          <w:rFonts w:hint="eastAsia"/>
          <w:highlight w:val="none"/>
        </w:rPr>
        <w:t>六、其他需要说明的问题</w:t>
      </w:r>
      <w:bookmarkEnd w:id="64"/>
      <w:bookmarkEnd w:id="65"/>
      <w:bookmarkEnd w:id="66"/>
    </w:p>
    <w:p>
      <w:pPr>
        <w:ind w:firstLine="640"/>
        <w:rPr>
          <w:rFonts w:hint="eastAsia" w:eastAsia="仿宋"/>
          <w:highlight w:val="none"/>
          <w:lang w:eastAsia="zh-CN"/>
        </w:rPr>
      </w:pPr>
      <w:r>
        <w:rPr>
          <w:rFonts w:hint="eastAsia"/>
          <w:highlight w:val="none"/>
        </w:rPr>
        <w:t>无</w:t>
      </w:r>
      <w:r>
        <w:rPr>
          <w:rFonts w:hint="eastAsia"/>
          <w:highlight w:val="none"/>
          <w:lang w:eastAsia="zh-CN"/>
        </w:rPr>
        <w:t>。</w:t>
      </w:r>
    </w:p>
    <w:p>
      <w:pPr>
        <w:pStyle w:val="3"/>
        <w:rPr>
          <w:highlight w:val="none"/>
        </w:rPr>
      </w:pPr>
      <w:bookmarkStart w:id="67" w:name="_Toc61882435"/>
      <w:bookmarkStart w:id="68" w:name="_Toc79333458"/>
      <w:bookmarkStart w:id="69" w:name="_Toc62030119"/>
      <w:bookmarkStart w:id="70" w:name="_Toc75871379"/>
      <w:bookmarkStart w:id="71" w:name="_Toc11566"/>
      <w:r>
        <w:rPr>
          <w:rFonts w:hint="eastAsia"/>
          <w:highlight w:val="none"/>
        </w:rPr>
        <w:t>七、附件</w:t>
      </w:r>
      <w:bookmarkEnd w:id="67"/>
      <w:bookmarkEnd w:id="68"/>
      <w:bookmarkEnd w:id="69"/>
      <w:bookmarkEnd w:id="70"/>
      <w:bookmarkEnd w:id="71"/>
    </w:p>
    <w:p>
      <w:pPr>
        <w:ind w:firstLine="640"/>
      </w:pPr>
      <w:r>
        <w:rPr>
          <w:rFonts w:hint="eastAsia"/>
        </w:rPr>
        <w:t>附件一：项目支出绩效自评表</w:t>
      </w:r>
    </w:p>
    <w:p>
      <w:pPr>
        <w:ind w:firstLine="640"/>
      </w:pPr>
    </w:p>
    <w:p>
      <w:pPr>
        <w:pStyle w:val="2"/>
        <w:sectPr>
          <w:footerReference r:id="rId6" w:type="default"/>
          <w:pgSz w:w="11906" w:h="16838"/>
          <w:pgMar w:top="1440" w:right="1800" w:bottom="1440" w:left="1800" w:header="851" w:footer="737" w:gutter="0"/>
          <w:pgBorders>
            <w:top w:val="none" w:sz="0" w:space="0"/>
            <w:left w:val="none" w:sz="0" w:space="0"/>
            <w:bottom w:val="none" w:sz="0" w:space="0"/>
            <w:right w:val="none" w:sz="0" w:space="0"/>
          </w:pgBorders>
          <w:pgNumType w:fmt="decimal" w:start="1"/>
          <w:cols w:space="0" w:num="1"/>
          <w:docGrid w:linePitch="312" w:charSpace="0"/>
        </w:sectPr>
      </w:pPr>
    </w:p>
    <w:tbl>
      <w:tblPr>
        <w:tblStyle w:val="13"/>
        <w:tblW w:w="4997" w:type="pct"/>
        <w:tblInd w:w="0" w:type="dxa"/>
        <w:shd w:val="clear" w:color="auto" w:fill="FFFFFF" w:themeFill="background1"/>
        <w:tblLayout w:type="fixed"/>
        <w:tblCellMar>
          <w:top w:w="0" w:type="dxa"/>
          <w:left w:w="0" w:type="dxa"/>
          <w:bottom w:w="0" w:type="dxa"/>
          <w:right w:w="0" w:type="dxa"/>
        </w:tblCellMar>
      </w:tblPr>
      <w:tblGrid>
        <w:gridCol w:w="1266"/>
        <w:gridCol w:w="1211"/>
        <w:gridCol w:w="1471"/>
        <w:gridCol w:w="1398"/>
        <w:gridCol w:w="1420"/>
        <w:gridCol w:w="2316"/>
        <w:gridCol w:w="1150"/>
        <w:gridCol w:w="1225"/>
        <w:gridCol w:w="624"/>
        <w:gridCol w:w="582"/>
        <w:gridCol w:w="1317"/>
      </w:tblGrid>
      <w:tr>
        <w:tblPrEx>
          <w:shd w:val="clear" w:color="auto" w:fill="FFFFFF" w:themeFill="background1"/>
          <w:tblCellMar>
            <w:top w:w="0" w:type="dxa"/>
            <w:left w:w="0" w:type="dxa"/>
            <w:bottom w:w="0" w:type="dxa"/>
            <w:right w:w="0" w:type="dxa"/>
          </w:tblCellMar>
        </w:tblPrEx>
        <w:trPr>
          <w:trHeight w:val="378" w:hRule="atLeast"/>
        </w:trPr>
        <w:tc>
          <w:tcPr>
            <w:tcW w:w="2419" w:type="pct"/>
            <w:gridSpan w:val="5"/>
            <w:tcBorders>
              <w:top w:val="nil"/>
              <w:left w:val="nil"/>
              <w:bottom w:val="nil"/>
              <w:right w:val="nil"/>
            </w:tcBorders>
            <w:shd w:val="clear" w:color="auto" w:fill="FFFFFF" w:themeFill="background1"/>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2"/>
                <w:szCs w:val="22"/>
                <w:u w:val="none"/>
                <w:lang w:val="en-US" w:eastAsia="zh-CN" w:bidi="ar"/>
              </w:rPr>
              <w:t>附件1：项目支出绩效自评表</w:t>
            </w:r>
          </w:p>
        </w:tc>
        <w:tc>
          <w:tcPr>
            <w:tcW w:w="828" w:type="pct"/>
            <w:tcBorders>
              <w:top w:val="nil"/>
              <w:left w:val="nil"/>
              <w:bottom w:val="nil"/>
              <w:right w:val="nil"/>
            </w:tcBorders>
            <w:shd w:val="clear" w:color="auto" w:fill="FFFFFF" w:themeFill="background1"/>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411" w:type="pct"/>
            <w:tcBorders>
              <w:top w:val="nil"/>
              <w:left w:val="nil"/>
              <w:bottom w:val="nil"/>
              <w:right w:val="nil"/>
            </w:tcBorders>
            <w:shd w:val="clear" w:color="auto" w:fill="FFFFFF" w:themeFill="background1"/>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438" w:type="pct"/>
            <w:tcBorders>
              <w:top w:val="nil"/>
              <w:left w:val="nil"/>
              <w:bottom w:val="nil"/>
              <w:right w:val="nil"/>
            </w:tcBorders>
            <w:shd w:val="clear" w:color="auto" w:fill="FFFFFF" w:themeFill="background1"/>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223" w:type="pct"/>
            <w:tcBorders>
              <w:top w:val="nil"/>
              <w:left w:val="nil"/>
              <w:bottom w:val="nil"/>
              <w:right w:val="nil"/>
            </w:tcBorders>
            <w:shd w:val="clear" w:color="auto" w:fill="FFFFFF" w:themeFill="background1"/>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208" w:type="pct"/>
            <w:tcBorders>
              <w:top w:val="nil"/>
              <w:left w:val="nil"/>
              <w:bottom w:val="nil"/>
              <w:right w:val="nil"/>
            </w:tcBorders>
            <w:shd w:val="clear" w:color="auto" w:fill="FFFFFF" w:themeFill="background1"/>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c>
          <w:tcPr>
            <w:tcW w:w="471" w:type="pct"/>
            <w:tcBorders>
              <w:top w:val="nil"/>
              <w:left w:val="nil"/>
              <w:bottom w:val="nil"/>
              <w:right w:val="nil"/>
            </w:tcBorders>
            <w:shd w:val="clear" w:color="auto" w:fill="FFFFFF" w:themeFill="background1"/>
            <w:noWrap/>
            <w:tcMar>
              <w:top w:w="15" w:type="dxa"/>
              <w:left w:w="15" w:type="dxa"/>
              <w:right w:w="15" w:type="dxa"/>
            </w:tcMar>
            <w:vAlign w:val="bottom"/>
          </w:tcPr>
          <w:p>
            <w:pPr>
              <w:spacing w:line="240" w:lineRule="auto"/>
              <w:rPr>
                <w:rFonts w:hint="eastAsia" w:ascii="宋体" w:hAnsi="宋体" w:eastAsia="宋体" w:cs="宋体"/>
                <w:i w:val="0"/>
                <w:color w:val="000000"/>
                <w:sz w:val="20"/>
                <w:szCs w:val="20"/>
                <w:u w:val="none"/>
              </w:rPr>
            </w:pPr>
          </w:p>
        </w:tc>
      </w:tr>
      <w:tr>
        <w:tblPrEx>
          <w:shd w:val="clear" w:color="auto" w:fill="FFFFFF" w:themeFill="background1"/>
          <w:tblCellMar>
            <w:top w:w="0" w:type="dxa"/>
            <w:left w:w="0" w:type="dxa"/>
            <w:bottom w:w="0" w:type="dxa"/>
            <w:right w:w="0" w:type="dxa"/>
          </w:tblCellMar>
        </w:tblPrEx>
        <w:trPr>
          <w:trHeight w:val="424" w:hRule="atLeast"/>
        </w:trPr>
        <w:tc>
          <w:tcPr>
            <w:tcW w:w="5000" w:type="pct"/>
            <w:gridSpan w:val="11"/>
            <w:tcBorders>
              <w:top w:val="nil"/>
              <w:left w:val="nil"/>
              <w:bottom w:val="nil"/>
              <w:right w:val="nil"/>
            </w:tcBorders>
            <w:shd w:val="clear" w:color="auto" w:fill="FFFFFF" w:themeFill="background1"/>
            <w:noWrap/>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shd w:val="clear" w:color="auto" w:fill="FFFFFF" w:themeFill="background1"/>
          <w:tblCellMar>
            <w:top w:w="0" w:type="dxa"/>
            <w:left w:w="0" w:type="dxa"/>
            <w:bottom w:w="0" w:type="dxa"/>
            <w:right w:w="0" w:type="dxa"/>
          </w:tblCellMar>
        </w:tblPrEx>
        <w:trPr>
          <w:trHeight w:val="320" w:hRule="atLeast"/>
        </w:trPr>
        <w:tc>
          <w:tcPr>
            <w:tcW w:w="5000" w:type="pct"/>
            <w:gridSpan w:val="11"/>
            <w:tcBorders>
              <w:top w:val="nil"/>
              <w:left w:val="nil"/>
              <w:bottom w:val="nil"/>
              <w:right w:val="nil"/>
            </w:tcBorders>
            <w:shd w:val="clear" w:color="auto" w:fill="FFFFFF" w:themeFill="background1"/>
            <w:noWrap/>
            <w:tcMar>
              <w:top w:w="15" w:type="dxa"/>
              <w:left w:w="15" w:type="dxa"/>
              <w:right w:w="15" w:type="dxa"/>
            </w:tcMar>
            <w:vAlign w:val="top"/>
          </w:tcPr>
          <w:p>
            <w:pPr>
              <w:keepNext w:val="0"/>
              <w:keepLines w:val="0"/>
              <w:widowControl/>
              <w:suppressLineNumbers w:val="0"/>
              <w:spacing w:line="240" w:lineRule="auto"/>
              <w:jc w:val="center"/>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（2021年度）</w:t>
            </w:r>
          </w:p>
        </w:tc>
      </w:tr>
      <w:tr>
        <w:tblPrEx>
          <w:shd w:val="clear" w:color="auto" w:fill="FFFFFF" w:themeFill="background1"/>
          <w:tblCellMar>
            <w:top w:w="0" w:type="dxa"/>
            <w:left w:w="0" w:type="dxa"/>
            <w:bottom w:w="0" w:type="dxa"/>
            <w:right w:w="0" w:type="dxa"/>
          </w:tblCellMar>
        </w:tblPrEx>
        <w:trPr>
          <w:trHeight w:val="315" w:hRule="atLeast"/>
        </w:trPr>
        <w:tc>
          <w:tcPr>
            <w:tcW w:w="5000" w:type="pct"/>
            <w:gridSpan w:val="11"/>
            <w:tcBorders>
              <w:top w:val="nil"/>
              <w:left w:val="nil"/>
              <w:bottom w:val="single" w:color="000000" w:sz="4" w:space="0"/>
              <w:right w:val="nil"/>
            </w:tcBorders>
            <w:shd w:val="clear" w:color="auto" w:fill="FFFFFF" w:themeFill="background1"/>
            <w:noWrap/>
            <w:tcMar>
              <w:top w:w="15" w:type="dxa"/>
              <w:left w:w="15" w:type="dxa"/>
              <w:right w:w="15" w:type="dxa"/>
            </w:tcMar>
            <w:vAlign w:val="center"/>
          </w:tcPr>
          <w:p>
            <w:pPr>
              <w:keepNext w:val="0"/>
              <w:keepLines w:val="0"/>
              <w:widowControl/>
              <w:suppressLineNumbers w:val="0"/>
              <w:spacing w:line="240" w:lineRule="auto"/>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填表人及联系方式：                        </w:t>
            </w:r>
          </w:p>
        </w:tc>
      </w:tr>
      <w:tr>
        <w:tblPrEx>
          <w:shd w:val="clear" w:color="auto" w:fill="FFFFFF" w:themeFill="background1"/>
          <w:tblCellMar>
            <w:top w:w="0" w:type="dxa"/>
            <w:left w:w="0" w:type="dxa"/>
            <w:bottom w:w="0" w:type="dxa"/>
            <w:right w:w="0" w:type="dxa"/>
          </w:tblCellMar>
        </w:tblPrEx>
        <w:trPr>
          <w:trHeight w:val="379" w:hRule="atLeast"/>
        </w:trPr>
        <w:tc>
          <w:tcPr>
            <w:tcW w:w="885"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4114" w:type="pct"/>
            <w:gridSpan w:val="9"/>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外事侨务活动经费（侨办）</w:t>
            </w:r>
          </w:p>
        </w:tc>
      </w:tr>
      <w:tr>
        <w:tblPrEx>
          <w:shd w:val="clear" w:color="auto" w:fill="FFFFFF" w:themeFill="background1"/>
          <w:tblCellMar>
            <w:top w:w="0" w:type="dxa"/>
            <w:left w:w="0" w:type="dxa"/>
            <w:bottom w:w="0" w:type="dxa"/>
            <w:right w:w="0" w:type="dxa"/>
          </w:tblCellMar>
        </w:tblPrEx>
        <w:trPr>
          <w:trHeight w:val="379" w:hRule="atLeast"/>
        </w:trPr>
        <w:tc>
          <w:tcPr>
            <w:tcW w:w="885"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主管部门及代码</w:t>
            </w:r>
          </w:p>
        </w:tc>
        <w:tc>
          <w:tcPr>
            <w:tcW w:w="2362" w:type="pct"/>
            <w:gridSpan w:val="4"/>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中共三门峡市委统一战线工作部</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340" w:type="pct"/>
            <w:gridSpan w:val="4"/>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中共三门峡市委统一战线工作部</w:t>
            </w:r>
          </w:p>
        </w:tc>
      </w:tr>
      <w:tr>
        <w:tblPrEx>
          <w:shd w:val="clear" w:color="auto" w:fill="FFFFFF" w:themeFill="background1"/>
          <w:tblCellMar>
            <w:top w:w="0" w:type="dxa"/>
            <w:left w:w="0" w:type="dxa"/>
            <w:bottom w:w="0" w:type="dxa"/>
            <w:right w:w="0" w:type="dxa"/>
          </w:tblCellMar>
        </w:tblPrEx>
        <w:trPr>
          <w:trHeight w:val="371" w:hRule="atLeast"/>
        </w:trPr>
        <w:tc>
          <w:tcPr>
            <w:tcW w:w="885" w:type="pct"/>
            <w:gridSpan w:val="2"/>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（万元）</w:t>
            </w:r>
          </w:p>
        </w:tc>
        <w:tc>
          <w:tcPr>
            <w:tcW w:w="1026"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07"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431"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47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shd w:val="clear" w:color="auto" w:fill="FFFFFF" w:themeFill="background1"/>
          <w:tblCellMar>
            <w:top w:w="0" w:type="dxa"/>
            <w:left w:w="0" w:type="dxa"/>
            <w:bottom w:w="0" w:type="dxa"/>
            <w:right w:w="0" w:type="dxa"/>
          </w:tblCellMar>
        </w:tblPrEx>
        <w:trPr>
          <w:trHeight w:val="379" w:hRule="atLeast"/>
        </w:trPr>
        <w:tc>
          <w:tcPr>
            <w:tcW w:w="885" w:type="pct"/>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26"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507"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3.23</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3.23</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31"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47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shd w:val="clear" w:color="auto" w:fill="FFFFFF" w:themeFill="background1"/>
          <w:tblCellMar>
            <w:top w:w="0" w:type="dxa"/>
            <w:left w:w="0" w:type="dxa"/>
            <w:bottom w:w="0" w:type="dxa"/>
            <w:right w:w="0" w:type="dxa"/>
          </w:tblCellMar>
        </w:tblPrEx>
        <w:trPr>
          <w:trHeight w:val="379" w:hRule="atLeast"/>
        </w:trPr>
        <w:tc>
          <w:tcPr>
            <w:tcW w:w="885" w:type="pct"/>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26"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507"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3.23</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3.23</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31"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47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FFFFFF" w:themeFill="background1"/>
          <w:tblCellMar>
            <w:top w:w="0" w:type="dxa"/>
            <w:left w:w="0" w:type="dxa"/>
            <w:bottom w:w="0" w:type="dxa"/>
            <w:right w:w="0" w:type="dxa"/>
          </w:tblCellMar>
        </w:tblPrEx>
        <w:trPr>
          <w:trHeight w:val="379" w:hRule="atLeast"/>
        </w:trPr>
        <w:tc>
          <w:tcPr>
            <w:tcW w:w="885" w:type="pct"/>
            <w:gridSpan w:val="2"/>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26"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507"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31"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FFFFFF" w:themeFill="background1"/>
          <w:tblCellMar>
            <w:top w:w="0" w:type="dxa"/>
            <w:left w:w="0" w:type="dxa"/>
            <w:bottom w:w="0" w:type="dxa"/>
            <w:right w:w="0" w:type="dxa"/>
          </w:tblCellMar>
        </w:tblPrEx>
        <w:trPr>
          <w:trHeight w:val="379" w:hRule="atLeast"/>
        </w:trPr>
        <w:tc>
          <w:tcPr>
            <w:tcW w:w="452"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2795" w:type="pct"/>
            <w:gridSpan w:val="5"/>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1751" w:type="pct"/>
            <w:gridSpan w:val="5"/>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FFFFFF" w:themeFill="background1"/>
          <w:tblCellMar>
            <w:top w:w="0" w:type="dxa"/>
            <w:left w:w="0" w:type="dxa"/>
            <w:bottom w:w="0" w:type="dxa"/>
            <w:right w:w="0" w:type="dxa"/>
          </w:tblCellMar>
        </w:tblPrEx>
        <w:trPr>
          <w:trHeight w:val="3685"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2795" w:type="pct"/>
            <w:gridSpan w:val="5"/>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目标1：根据中央统战部和省委统战工作领导小组关于加强海外统战工作的具体要求，设立“一带一路”共建工作经费。加强海外统战工作。</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目标2：邀请和接待海外重点侨团、侨领和重点侨界代表人士来我市交流，发挥海外侨领的独特作用，在海外讲好中国故事、讲好黄河故事、讲好河南故事，传递和平的声音，是海外统战工作的重点工作之一。</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目标3：华侨和重点代表人士慰问、选拔工作，在我国的政治生活中增加海外侨胞对祖国建设和国家治理代表海外侨胞提出治国建议和意见。</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4：港澳工作经费及因公赴港澳受理、审批和办理证照工作，是统战工作的重要一环，关乎领土完整和国家稳定，是中央统战部和省委统战工作领导小组赋予的一项新任务，也关乎祖国内地和香港地区的互利共建。</w:t>
            </w:r>
          </w:p>
          <w:p>
            <w:pPr>
              <w:keepNext w:val="0"/>
              <w:keepLines w:val="0"/>
              <w:widowControl/>
              <w:suppressLineNumbers w:val="0"/>
              <w:spacing w:line="240" w:lineRule="auto"/>
              <w:ind w:left="0" w:leftChars="0" w:firstLine="0" w:firstLineChars="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目标5：海外华侨社团在国内办事机构的管理考察工作，根据统战工作条例，侨办的主要只能之一，是联系协调和邀请海外侨团开展侨务统战工作，海外侨团驻国内的办事机构，是他们在国内开展工作的体，根据统战工作要求需要加强管理和考察，使其发挥正面作用。</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目标6：海外华侨在国内受荣工作，海外华侨在我市积极开展扶贫济，、教育及医疗卫生捐助、捐赠，以及防疫物资的捐赠，根据统战工作要求应必须向做出贡献的侨胞授予市级荣誉。</w:t>
            </w:r>
          </w:p>
        </w:tc>
        <w:tc>
          <w:tcPr>
            <w:tcW w:w="1751" w:type="pct"/>
            <w:gridSpan w:val="5"/>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因疫情原因，一些工作计划未实施</w:t>
            </w:r>
          </w:p>
        </w:tc>
      </w:tr>
      <w:tr>
        <w:tblPrEx>
          <w:shd w:val="clear" w:color="auto" w:fill="FFFFFF" w:themeFill="background1"/>
          <w:tblCellMar>
            <w:top w:w="0" w:type="dxa"/>
            <w:left w:w="0" w:type="dxa"/>
            <w:bottom w:w="0" w:type="dxa"/>
            <w:right w:w="0" w:type="dxa"/>
          </w:tblCellMar>
        </w:tblPrEx>
        <w:trPr>
          <w:trHeight w:val="540" w:hRule="atLeast"/>
        </w:trPr>
        <w:tc>
          <w:tcPr>
            <w:tcW w:w="452"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效</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标</w:t>
            </w:r>
          </w:p>
        </w:tc>
        <w:tc>
          <w:tcPr>
            <w:tcW w:w="43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526"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FFFFFF" w:themeFill="background1"/>
          <w:tblCellMar>
            <w:top w:w="0" w:type="dxa"/>
            <w:left w:w="0" w:type="dxa"/>
            <w:bottom w:w="0" w:type="dxa"/>
            <w:right w:w="0" w:type="dxa"/>
          </w:tblCellMar>
        </w:tblPrEx>
        <w:trPr>
          <w:trHeight w:val="270"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3"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526"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邀请海外重点华侨代表批次</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5批</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2批</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304"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华侨和重点代表人士慰问人数</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40人</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＞40人</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270"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华侨和重点代表人选拔人数</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5人</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5人</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270"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考察海外华侨社团在国内办事机构次数</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6次</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2次</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270"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海外华侨在国内受荣人数</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12人</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12人</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270"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6"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邀请海外重点华侨代表完成率</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270"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华侨和重点代表人士慰问完成率</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270"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华侨和重点代表人选拔完成率</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270"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考察海外华侨社团在国内办事机构完成率</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270"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海外华侨在国内受荣完成率</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270"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6"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邀请海外重点华侨代表及时性</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270"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华侨和重点代表人士慰问及时性</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450"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华侨和重点代表人选拔及时性</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第一季度和第四季度</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270"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考察海外华侨社团在国内办事机构及时性</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270"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海外华侨在国内受荣及时性</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第四季度</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270"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6"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不超总预算</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≤10万</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3.23万元</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270"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3"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526"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让广大海外侨胞了解祖国的发展成就，提升海外侨胞的爱国意识</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270"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6"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发挥海外侨胞独特作用，促进一带一路共建</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促进</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450"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526"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提升中国内地在海外的影响力，扩大对外开放，促进转型发展，深化友好合作</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持续提升</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达成预期指标</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450" w:hRule="atLeast"/>
        </w:trPr>
        <w:tc>
          <w:tcPr>
            <w:tcW w:w="452"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c>
          <w:tcPr>
            <w:tcW w:w="43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526"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007"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华侨和归侨满意度</w:t>
            </w:r>
          </w:p>
        </w:tc>
        <w:tc>
          <w:tcPr>
            <w:tcW w:w="82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411"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97%</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379" w:hRule="atLeast"/>
        </w:trPr>
        <w:tc>
          <w:tcPr>
            <w:tcW w:w="3659" w:type="pct"/>
            <w:gridSpan w:val="7"/>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438"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23"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91.0</w:t>
            </w:r>
          </w:p>
        </w:tc>
        <w:tc>
          <w:tcPr>
            <w:tcW w:w="679"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shd w:val="clear" w:color="auto" w:fill="FFFFFF" w:themeFill="background1"/>
          <w:tblCellMar>
            <w:top w:w="0" w:type="dxa"/>
            <w:left w:w="0" w:type="dxa"/>
            <w:bottom w:w="0" w:type="dxa"/>
            <w:right w:w="0" w:type="dxa"/>
          </w:tblCellMar>
        </w:tblPrEx>
        <w:trPr>
          <w:trHeight w:val="270" w:hRule="atLeast"/>
        </w:trPr>
        <w:tc>
          <w:tcPr>
            <w:tcW w:w="5000" w:type="pct"/>
            <w:gridSpan w:val="11"/>
            <w:vMerge w:val="restar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注：1.绩效自评采取打分评价的形式，</w:t>
            </w:r>
            <w:r>
              <w:rPr>
                <w:rStyle w:val="31"/>
                <w:lang w:val="en-US" w:eastAsia="zh-CN" w:bidi="ar"/>
              </w:rPr>
              <w:t>原则上一级指标分值统一设置为：产出指标50分、效益指标30分、服务对象满意度10分、预算资金执行率10分。2.偏差原因分析及改进措施：说明偏离目标、不能完成目标的原因及改进措施。 3.定性指标根据指标完成情况分为达成预期指标、部分达成预期指标并具有一定效果、未达成预期指标且效果较差三档，分别按照该指标对应分值区间100％-80％(含)、80％-60％(含)、60％-0％合理确定分值。定量指标完成指标值的，记该指标所赋全部分值；未完成的，按照完成值与指标值的比例计分。</w:t>
            </w:r>
          </w:p>
        </w:tc>
      </w:tr>
      <w:tr>
        <w:tblPrEx>
          <w:shd w:val="clear" w:color="auto" w:fill="FFFFFF" w:themeFill="background1"/>
          <w:tblCellMar>
            <w:top w:w="0" w:type="dxa"/>
            <w:left w:w="0" w:type="dxa"/>
            <w:bottom w:w="0" w:type="dxa"/>
            <w:right w:w="0" w:type="dxa"/>
          </w:tblCellMar>
        </w:tblPrEx>
        <w:trPr>
          <w:trHeight w:val="450" w:hRule="atLeast"/>
        </w:trPr>
        <w:tc>
          <w:tcPr>
            <w:tcW w:w="5000" w:type="pct"/>
            <w:gridSpan w:val="11"/>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60" w:hRule="atLeast"/>
        </w:trPr>
        <w:tc>
          <w:tcPr>
            <w:tcW w:w="5000" w:type="pct"/>
            <w:gridSpan w:val="11"/>
            <w:vMerge w:val="continue"/>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pPr>
              <w:spacing w:line="240" w:lineRule="auto"/>
              <w:jc w:val="center"/>
              <w:rPr>
                <w:rFonts w:hint="eastAsia" w:ascii="宋体" w:hAnsi="宋体" w:eastAsia="宋体" w:cs="宋体"/>
                <w:i w:val="0"/>
                <w:color w:val="000000"/>
                <w:sz w:val="18"/>
                <w:szCs w:val="18"/>
                <w:u w:val="none"/>
              </w:rPr>
            </w:pPr>
          </w:p>
        </w:tc>
      </w:tr>
    </w:tbl>
    <w:p>
      <w:pPr>
        <w:tabs>
          <w:tab w:val="left" w:pos="1400"/>
        </w:tabs>
        <w:spacing w:line="20" w:lineRule="exact"/>
        <w:ind w:left="0" w:leftChars="0" w:firstLine="0" w:firstLineChars="0"/>
      </w:pPr>
    </w:p>
    <w:sectPr>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425" w:num="1"/>
      <w:docGrid w:type="linesAndChars" w:linePitch="312"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5">
      <wne:acd wne:acdName="acd3"/>
    </wne:keymap>
  </wne:keymaps>
  <wne:acds>
    <wne:acd wne:argValue="AQAAAAAA" wne:acdName="acd0" wne:fciIndexBasedOn="0065"/>
    <wne:acd wne:argValue="AQAAAAIA" wne:acdName="acd1" wne:fciIndexBasedOn="0065"/>
    <wne:acd wne:argValue="AQAAAAMA" wne:acdName="acd2" wne:fciIndexBasedOn="0065"/>
    <wne:acd wne:argValue="AgBoiDxo" wne:acdName="acd3"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5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5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ind w:firstLine="5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560"/>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9"/>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F18868"/>
    <w:multiLevelType w:val="singleLevel"/>
    <w:tmpl w:val="41F18868"/>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8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zOTdhZGU0ZjA2NmFkYzhlMGFjZTA1YzM1YWEzY2UifQ=="/>
  </w:docVars>
  <w:rsids>
    <w:rsidRoot w:val="00172A27"/>
    <w:rsid w:val="00000467"/>
    <w:rsid w:val="00014831"/>
    <w:rsid w:val="00015EA2"/>
    <w:rsid w:val="00017BC4"/>
    <w:rsid w:val="00020A09"/>
    <w:rsid w:val="00033BB4"/>
    <w:rsid w:val="0003465C"/>
    <w:rsid w:val="0007513C"/>
    <w:rsid w:val="00084C11"/>
    <w:rsid w:val="000900C7"/>
    <w:rsid w:val="000A5385"/>
    <w:rsid w:val="000A56EE"/>
    <w:rsid w:val="000E7769"/>
    <w:rsid w:val="00107A3B"/>
    <w:rsid w:val="00111C89"/>
    <w:rsid w:val="00114002"/>
    <w:rsid w:val="001209A1"/>
    <w:rsid w:val="00124E12"/>
    <w:rsid w:val="00134BDF"/>
    <w:rsid w:val="001372F1"/>
    <w:rsid w:val="00143FC7"/>
    <w:rsid w:val="00172020"/>
    <w:rsid w:val="00173BDA"/>
    <w:rsid w:val="00183550"/>
    <w:rsid w:val="00187CCE"/>
    <w:rsid w:val="00195B9E"/>
    <w:rsid w:val="001971D2"/>
    <w:rsid w:val="001B0C73"/>
    <w:rsid w:val="001B6E21"/>
    <w:rsid w:val="001C2BC4"/>
    <w:rsid w:val="001C4182"/>
    <w:rsid w:val="001D3BA3"/>
    <w:rsid w:val="001D6625"/>
    <w:rsid w:val="00206C6A"/>
    <w:rsid w:val="00224728"/>
    <w:rsid w:val="00227546"/>
    <w:rsid w:val="002507E2"/>
    <w:rsid w:val="002525ED"/>
    <w:rsid w:val="00252BB8"/>
    <w:rsid w:val="002649B8"/>
    <w:rsid w:val="00265560"/>
    <w:rsid w:val="002A61B1"/>
    <w:rsid w:val="002B6AB4"/>
    <w:rsid w:val="002B779B"/>
    <w:rsid w:val="002C32A5"/>
    <w:rsid w:val="002D335B"/>
    <w:rsid w:val="002E2F3F"/>
    <w:rsid w:val="002F169E"/>
    <w:rsid w:val="00302EE8"/>
    <w:rsid w:val="00303563"/>
    <w:rsid w:val="00335542"/>
    <w:rsid w:val="00337A20"/>
    <w:rsid w:val="003477C0"/>
    <w:rsid w:val="00357430"/>
    <w:rsid w:val="0035746E"/>
    <w:rsid w:val="003740DA"/>
    <w:rsid w:val="00397BDC"/>
    <w:rsid w:val="003C1582"/>
    <w:rsid w:val="003D69A6"/>
    <w:rsid w:val="003E1139"/>
    <w:rsid w:val="003E1513"/>
    <w:rsid w:val="003E56BE"/>
    <w:rsid w:val="003E5C49"/>
    <w:rsid w:val="003E69D2"/>
    <w:rsid w:val="00402DC2"/>
    <w:rsid w:val="004034F0"/>
    <w:rsid w:val="00410C6F"/>
    <w:rsid w:val="0042364F"/>
    <w:rsid w:val="004333B5"/>
    <w:rsid w:val="00441F6E"/>
    <w:rsid w:val="004478BE"/>
    <w:rsid w:val="004839E2"/>
    <w:rsid w:val="004869ED"/>
    <w:rsid w:val="00496DC4"/>
    <w:rsid w:val="004B04EA"/>
    <w:rsid w:val="004B274D"/>
    <w:rsid w:val="004B59BE"/>
    <w:rsid w:val="004B702C"/>
    <w:rsid w:val="004C4A8B"/>
    <w:rsid w:val="004C73AE"/>
    <w:rsid w:val="004D1D02"/>
    <w:rsid w:val="004D38F1"/>
    <w:rsid w:val="004E5F55"/>
    <w:rsid w:val="00500253"/>
    <w:rsid w:val="00511AED"/>
    <w:rsid w:val="00532771"/>
    <w:rsid w:val="005360C8"/>
    <w:rsid w:val="00544CD5"/>
    <w:rsid w:val="00546688"/>
    <w:rsid w:val="005A1AFF"/>
    <w:rsid w:val="005A4096"/>
    <w:rsid w:val="005A5773"/>
    <w:rsid w:val="005B558F"/>
    <w:rsid w:val="005B5B94"/>
    <w:rsid w:val="005C4E72"/>
    <w:rsid w:val="005D1837"/>
    <w:rsid w:val="005D751E"/>
    <w:rsid w:val="005E2918"/>
    <w:rsid w:val="006067A5"/>
    <w:rsid w:val="00612F8F"/>
    <w:rsid w:val="00617387"/>
    <w:rsid w:val="006219B2"/>
    <w:rsid w:val="00634FF9"/>
    <w:rsid w:val="00636695"/>
    <w:rsid w:val="00642BB8"/>
    <w:rsid w:val="006447D8"/>
    <w:rsid w:val="006564C8"/>
    <w:rsid w:val="00671DEC"/>
    <w:rsid w:val="00682436"/>
    <w:rsid w:val="00687B10"/>
    <w:rsid w:val="00696AC7"/>
    <w:rsid w:val="006A0C3B"/>
    <w:rsid w:val="006E18D1"/>
    <w:rsid w:val="006F4D2E"/>
    <w:rsid w:val="006F7BD2"/>
    <w:rsid w:val="00707F5E"/>
    <w:rsid w:val="00722BF5"/>
    <w:rsid w:val="00722EB4"/>
    <w:rsid w:val="007245B6"/>
    <w:rsid w:val="00731FB1"/>
    <w:rsid w:val="00732859"/>
    <w:rsid w:val="00733D5C"/>
    <w:rsid w:val="00735E28"/>
    <w:rsid w:val="00761B7C"/>
    <w:rsid w:val="00766ECA"/>
    <w:rsid w:val="00775087"/>
    <w:rsid w:val="00787EC4"/>
    <w:rsid w:val="007D3F2B"/>
    <w:rsid w:val="007D46F5"/>
    <w:rsid w:val="007D5474"/>
    <w:rsid w:val="007E038E"/>
    <w:rsid w:val="007E3BBD"/>
    <w:rsid w:val="007E5459"/>
    <w:rsid w:val="007E62E5"/>
    <w:rsid w:val="00801C96"/>
    <w:rsid w:val="00824FE0"/>
    <w:rsid w:val="00834760"/>
    <w:rsid w:val="00847FDB"/>
    <w:rsid w:val="00865BF0"/>
    <w:rsid w:val="00881F40"/>
    <w:rsid w:val="00895EDD"/>
    <w:rsid w:val="008A0688"/>
    <w:rsid w:val="008A4705"/>
    <w:rsid w:val="008C005F"/>
    <w:rsid w:val="008C5DBA"/>
    <w:rsid w:val="008D1D7D"/>
    <w:rsid w:val="008E6B96"/>
    <w:rsid w:val="008F2D7E"/>
    <w:rsid w:val="008F4C9D"/>
    <w:rsid w:val="00934336"/>
    <w:rsid w:val="009422C0"/>
    <w:rsid w:val="00970DB8"/>
    <w:rsid w:val="009778B5"/>
    <w:rsid w:val="00984FD9"/>
    <w:rsid w:val="00987BBA"/>
    <w:rsid w:val="00996076"/>
    <w:rsid w:val="009A179D"/>
    <w:rsid w:val="009C3CD7"/>
    <w:rsid w:val="009D346F"/>
    <w:rsid w:val="009E1278"/>
    <w:rsid w:val="009E624C"/>
    <w:rsid w:val="009F1EC3"/>
    <w:rsid w:val="00A02EC6"/>
    <w:rsid w:val="00A06E53"/>
    <w:rsid w:val="00A1660B"/>
    <w:rsid w:val="00A31898"/>
    <w:rsid w:val="00A34962"/>
    <w:rsid w:val="00A40895"/>
    <w:rsid w:val="00A43398"/>
    <w:rsid w:val="00A44857"/>
    <w:rsid w:val="00A63B01"/>
    <w:rsid w:val="00A7105B"/>
    <w:rsid w:val="00A75DD3"/>
    <w:rsid w:val="00A82F02"/>
    <w:rsid w:val="00AB3EF4"/>
    <w:rsid w:val="00AC11B2"/>
    <w:rsid w:val="00AD4EBA"/>
    <w:rsid w:val="00AF224E"/>
    <w:rsid w:val="00AF6F73"/>
    <w:rsid w:val="00B14E63"/>
    <w:rsid w:val="00B40DB3"/>
    <w:rsid w:val="00B466AA"/>
    <w:rsid w:val="00B62F12"/>
    <w:rsid w:val="00B63496"/>
    <w:rsid w:val="00B81089"/>
    <w:rsid w:val="00B8648A"/>
    <w:rsid w:val="00BD7931"/>
    <w:rsid w:val="00BE677A"/>
    <w:rsid w:val="00C21D02"/>
    <w:rsid w:val="00C35AE1"/>
    <w:rsid w:val="00C66709"/>
    <w:rsid w:val="00C71C69"/>
    <w:rsid w:val="00C80024"/>
    <w:rsid w:val="00CB54A7"/>
    <w:rsid w:val="00CD2B60"/>
    <w:rsid w:val="00CF2DA9"/>
    <w:rsid w:val="00CF491C"/>
    <w:rsid w:val="00D07830"/>
    <w:rsid w:val="00D15E31"/>
    <w:rsid w:val="00D476C0"/>
    <w:rsid w:val="00D70EB7"/>
    <w:rsid w:val="00D7279B"/>
    <w:rsid w:val="00D9580A"/>
    <w:rsid w:val="00DA2131"/>
    <w:rsid w:val="00DA365D"/>
    <w:rsid w:val="00DC0EB4"/>
    <w:rsid w:val="00DD348E"/>
    <w:rsid w:val="00DD78B0"/>
    <w:rsid w:val="00E008C2"/>
    <w:rsid w:val="00E12715"/>
    <w:rsid w:val="00E24223"/>
    <w:rsid w:val="00E56A15"/>
    <w:rsid w:val="00E731B0"/>
    <w:rsid w:val="00E750CA"/>
    <w:rsid w:val="00E80793"/>
    <w:rsid w:val="00E81348"/>
    <w:rsid w:val="00E82D87"/>
    <w:rsid w:val="00E96285"/>
    <w:rsid w:val="00EB256C"/>
    <w:rsid w:val="00EB37C1"/>
    <w:rsid w:val="00ED2DB2"/>
    <w:rsid w:val="00EE3F62"/>
    <w:rsid w:val="00EE5338"/>
    <w:rsid w:val="00F03325"/>
    <w:rsid w:val="00F04028"/>
    <w:rsid w:val="00F10B47"/>
    <w:rsid w:val="00F37DD9"/>
    <w:rsid w:val="00F5485B"/>
    <w:rsid w:val="00F737AF"/>
    <w:rsid w:val="00F8011D"/>
    <w:rsid w:val="00F85591"/>
    <w:rsid w:val="00F93752"/>
    <w:rsid w:val="00FB028C"/>
    <w:rsid w:val="00FC619A"/>
    <w:rsid w:val="00FE4427"/>
    <w:rsid w:val="00FE5E78"/>
    <w:rsid w:val="00FF64F1"/>
    <w:rsid w:val="01181797"/>
    <w:rsid w:val="01645940"/>
    <w:rsid w:val="03C660F1"/>
    <w:rsid w:val="042B4352"/>
    <w:rsid w:val="04EE199F"/>
    <w:rsid w:val="06597595"/>
    <w:rsid w:val="06810145"/>
    <w:rsid w:val="06DD5138"/>
    <w:rsid w:val="07342079"/>
    <w:rsid w:val="09034D82"/>
    <w:rsid w:val="0B6424FB"/>
    <w:rsid w:val="0BBA7EF5"/>
    <w:rsid w:val="0C28640C"/>
    <w:rsid w:val="0ED36413"/>
    <w:rsid w:val="0EE02FCE"/>
    <w:rsid w:val="0F804554"/>
    <w:rsid w:val="100B1096"/>
    <w:rsid w:val="101876D1"/>
    <w:rsid w:val="106C521D"/>
    <w:rsid w:val="10FD66FD"/>
    <w:rsid w:val="11D14067"/>
    <w:rsid w:val="13233FA4"/>
    <w:rsid w:val="15093F8D"/>
    <w:rsid w:val="152F2A6D"/>
    <w:rsid w:val="16B8358C"/>
    <w:rsid w:val="182225D3"/>
    <w:rsid w:val="187D3A7A"/>
    <w:rsid w:val="1A791ABB"/>
    <w:rsid w:val="1A82328E"/>
    <w:rsid w:val="1AA37B03"/>
    <w:rsid w:val="1ABB30F2"/>
    <w:rsid w:val="1B002515"/>
    <w:rsid w:val="1BA50EE0"/>
    <w:rsid w:val="1BE13EE2"/>
    <w:rsid w:val="1CBF4C66"/>
    <w:rsid w:val="1D3572E4"/>
    <w:rsid w:val="1E8C377D"/>
    <w:rsid w:val="1FC60868"/>
    <w:rsid w:val="20BC7F17"/>
    <w:rsid w:val="21032E75"/>
    <w:rsid w:val="23FB3D4D"/>
    <w:rsid w:val="2449572C"/>
    <w:rsid w:val="24E946BF"/>
    <w:rsid w:val="25755DC7"/>
    <w:rsid w:val="25BF36F6"/>
    <w:rsid w:val="2636356A"/>
    <w:rsid w:val="266F3081"/>
    <w:rsid w:val="26CB4272"/>
    <w:rsid w:val="28577A06"/>
    <w:rsid w:val="29A45747"/>
    <w:rsid w:val="29DD159D"/>
    <w:rsid w:val="2AE845D1"/>
    <w:rsid w:val="2CFF241A"/>
    <w:rsid w:val="2DCE2518"/>
    <w:rsid w:val="2ED85F30"/>
    <w:rsid w:val="2F1A0968"/>
    <w:rsid w:val="2F480CE4"/>
    <w:rsid w:val="2F6126E4"/>
    <w:rsid w:val="30426930"/>
    <w:rsid w:val="30937A91"/>
    <w:rsid w:val="30FD39D4"/>
    <w:rsid w:val="31464A93"/>
    <w:rsid w:val="314975F2"/>
    <w:rsid w:val="323C26CF"/>
    <w:rsid w:val="33FF2D79"/>
    <w:rsid w:val="340A4177"/>
    <w:rsid w:val="35443ADE"/>
    <w:rsid w:val="358D1218"/>
    <w:rsid w:val="35B12160"/>
    <w:rsid w:val="37360FC5"/>
    <w:rsid w:val="38DD76C2"/>
    <w:rsid w:val="390B472B"/>
    <w:rsid w:val="3913015C"/>
    <w:rsid w:val="39F2109B"/>
    <w:rsid w:val="3A5073B8"/>
    <w:rsid w:val="3B080524"/>
    <w:rsid w:val="3B1A6D2A"/>
    <w:rsid w:val="3BB34468"/>
    <w:rsid w:val="3BBB391A"/>
    <w:rsid w:val="3D717682"/>
    <w:rsid w:val="3D771BE1"/>
    <w:rsid w:val="3DE87F59"/>
    <w:rsid w:val="3E1D202F"/>
    <w:rsid w:val="3EF2788E"/>
    <w:rsid w:val="3F4F3478"/>
    <w:rsid w:val="408C5853"/>
    <w:rsid w:val="410B7187"/>
    <w:rsid w:val="41C47028"/>
    <w:rsid w:val="42382005"/>
    <w:rsid w:val="440F4505"/>
    <w:rsid w:val="441E6300"/>
    <w:rsid w:val="44601E64"/>
    <w:rsid w:val="44BF6C07"/>
    <w:rsid w:val="476304AE"/>
    <w:rsid w:val="478458CB"/>
    <w:rsid w:val="47B24801"/>
    <w:rsid w:val="48413DE1"/>
    <w:rsid w:val="497F3848"/>
    <w:rsid w:val="49FA3D2C"/>
    <w:rsid w:val="4C7970A6"/>
    <w:rsid w:val="4E992DD9"/>
    <w:rsid w:val="4F061030"/>
    <w:rsid w:val="4F310701"/>
    <w:rsid w:val="4FF319AD"/>
    <w:rsid w:val="504E05FB"/>
    <w:rsid w:val="50C37060"/>
    <w:rsid w:val="50E45E35"/>
    <w:rsid w:val="531E0ADD"/>
    <w:rsid w:val="533F163E"/>
    <w:rsid w:val="54280325"/>
    <w:rsid w:val="54703A7A"/>
    <w:rsid w:val="54B91063"/>
    <w:rsid w:val="55236D3E"/>
    <w:rsid w:val="557A16D3"/>
    <w:rsid w:val="558772CD"/>
    <w:rsid w:val="55AE6607"/>
    <w:rsid w:val="55F834F4"/>
    <w:rsid w:val="56E528BB"/>
    <w:rsid w:val="58BB1ED8"/>
    <w:rsid w:val="598C3104"/>
    <w:rsid w:val="59E377A6"/>
    <w:rsid w:val="5A0B38CB"/>
    <w:rsid w:val="5BDE1F66"/>
    <w:rsid w:val="5C10650F"/>
    <w:rsid w:val="5D627490"/>
    <w:rsid w:val="5D973E25"/>
    <w:rsid w:val="604843B9"/>
    <w:rsid w:val="6278660E"/>
    <w:rsid w:val="62CA03EE"/>
    <w:rsid w:val="63BF54E2"/>
    <w:rsid w:val="645475EF"/>
    <w:rsid w:val="64FB4F30"/>
    <w:rsid w:val="65091475"/>
    <w:rsid w:val="65A17FA7"/>
    <w:rsid w:val="65BF660F"/>
    <w:rsid w:val="666D63A3"/>
    <w:rsid w:val="69312D5B"/>
    <w:rsid w:val="69B41E5D"/>
    <w:rsid w:val="6A8E285B"/>
    <w:rsid w:val="6B326A17"/>
    <w:rsid w:val="6C3E641F"/>
    <w:rsid w:val="6C635F46"/>
    <w:rsid w:val="6CF14426"/>
    <w:rsid w:val="6E742E8E"/>
    <w:rsid w:val="6EB95294"/>
    <w:rsid w:val="6F4627CE"/>
    <w:rsid w:val="70493BA2"/>
    <w:rsid w:val="71B242C2"/>
    <w:rsid w:val="71C8047A"/>
    <w:rsid w:val="72131E51"/>
    <w:rsid w:val="726311CA"/>
    <w:rsid w:val="72B8241C"/>
    <w:rsid w:val="72DC7328"/>
    <w:rsid w:val="74AD3F2D"/>
    <w:rsid w:val="750A71C7"/>
    <w:rsid w:val="77753743"/>
    <w:rsid w:val="785C2FF8"/>
    <w:rsid w:val="789E7920"/>
    <w:rsid w:val="79A144F3"/>
    <w:rsid w:val="7A1F006F"/>
    <w:rsid w:val="7B0E73D9"/>
    <w:rsid w:val="7B4B6523"/>
    <w:rsid w:val="7BF344C5"/>
    <w:rsid w:val="7BF34CA6"/>
    <w:rsid w:val="7C892554"/>
    <w:rsid w:val="7E906943"/>
    <w:rsid w:val="7F833C19"/>
    <w:rsid w:val="7F9D1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nhideWhenUsed="0" w:uiPriority="0" w:semiHidden="0" w:name="Body Text First Indent"/>
    <w:lsdException w:uiPriority="99" w:name="Body Text First Indent 2"/>
    <w:lsdException w:uiPriority="99" w:name="Note Heading"/>
    <w:lsdException w:unhideWhenUsed="0" w:uiPriority="0" w:semiHidden="0"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1044" w:firstLineChars="200"/>
      <w:jc w:val="both"/>
    </w:pPr>
    <w:rPr>
      <w:rFonts w:ascii="仿宋" w:hAnsi="仿宋" w:eastAsia="仿宋" w:cstheme="minorBidi"/>
      <w:kern w:val="2"/>
      <w:sz w:val="32"/>
      <w:szCs w:val="32"/>
      <w:lang w:val="en-US" w:eastAsia="zh-CN" w:bidi="ar-SA"/>
    </w:rPr>
  </w:style>
  <w:style w:type="paragraph" w:styleId="3">
    <w:name w:val="heading 1"/>
    <w:basedOn w:val="1"/>
    <w:next w:val="1"/>
    <w:link w:val="16"/>
    <w:qFormat/>
    <w:uiPriority w:val="9"/>
    <w:pPr>
      <w:keepNext/>
      <w:keepLines/>
      <w:ind w:firstLine="0" w:firstLineChars="0"/>
      <w:jc w:val="left"/>
      <w:outlineLvl w:val="0"/>
    </w:pPr>
    <w:rPr>
      <w:rFonts w:ascii="黑体" w:hAnsi="黑体" w:eastAsia="黑体"/>
      <w:b/>
      <w:bCs/>
      <w:kern w:val="44"/>
    </w:rPr>
  </w:style>
  <w:style w:type="paragraph" w:styleId="4">
    <w:name w:val="heading 2"/>
    <w:basedOn w:val="1"/>
    <w:next w:val="5"/>
    <w:link w:val="18"/>
    <w:unhideWhenUsed/>
    <w:qFormat/>
    <w:uiPriority w:val="9"/>
    <w:pPr>
      <w:keepNext/>
      <w:keepLines/>
      <w:ind w:firstLine="0" w:firstLineChars="0"/>
      <w:jc w:val="left"/>
      <w:outlineLvl w:val="1"/>
    </w:pPr>
    <w:rPr>
      <w:rFonts w:ascii="楷体" w:hAnsi="楷体" w:eastAsia="楷体" w:cstheme="majorBidi"/>
      <w:b/>
      <w:bCs/>
    </w:rPr>
  </w:style>
  <w:style w:type="paragraph" w:styleId="5">
    <w:name w:val="heading 3"/>
    <w:basedOn w:val="1"/>
    <w:next w:val="1"/>
    <w:link w:val="21"/>
    <w:unhideWhenUsed/>
    <w:qFormat/>
    <w:uiPriority w:val="9"/>
    <w:pPr>
      <w:keepNext/>
      <w:keepLines/>
      <w:ind w:firstLine="200"/>
      <w:jc w:val="left"/>
      <w:outlineLvl w:val="2"/>
    </w:pPr>
    <w:rPr>
      <w:rFonts w:ascii="宋体" w:hAnsi="宋体"/>
      <w:b/>
      <w:bCs/>
    </w:rPr>
  </w:style>
  <w:style w:type="paragraph" w:styleId="6">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Cs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ind w:left="0" w:firstLine="638"/>
    </w:pPr>
    <w:rPr>
      <w:rFonts w:ascii="宋体" w:hAnsi="宋体" w:eastAsia="仿宋"/>
    </w:rPr>
  </w:style>
  <w:style w:type="paragraph" w:styleId="7">
    <w:name w:val="annotation text"/>
    <w:basedOn w:val="1"/>
    <w:qFormat/>
    <w:uiPriority w:val="0"/>
    <w:pPr>
      <w:jc w:val="left"/>
    </w:pPr>
  </w:style>
  <w:style w:type="paragraph" w:styleId="8">
    <w:name w:val="toc 3"/>
    <w:basedOn w:val="1"/>
    <w:next w:val="1"/>
    <w:unhideWhenUsed/>
    <w:qFormat/>
    <w:uiPriority w:val="39"/>
    <w:pPr>
      <w:ind w:left="840" w:leftChars="400"/>
    </w:pPr>
  </w:style>
  <w:style w:type="paragraph" w:styleId="9">
    <w:name w:val="footer"/>
    <w:basedOn w:val="1"/>
    <w:link w:val="20"/>
    <w:unhideWhenUsed/>
    <w:qFormat/>
    <w:uiPriority w:val="99"/>
    <w:pPr>
      <w:tabs>
        <w:tab w:val="center" w:pos="4153"/>
        <w:tab w:val="right" w:pos="8306"/>
      </w:tabs>
      <w:spacing w:line="240" w:lineRule="auto"/>
      <w:ind w:firstLine="0" w:firstLineChars="0"/>
      <w:jc w:val="left"/>
    </w:pPr>
    <w:rPr>
      <w:sz w:val="28"/>
      <w:szCs w:val="2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sz w:val="18"/>
    </w:rPr>
  </w:style>
  <w:style w:type="paragraph" w:styleId="11">
    <w:name w:val="toc 1"/>
    <w:basedOn w:val="1"/>
    <w:next w:val="1"/>
    <w:unhideWhenUsed/>
    <w:qFormat/>
    <w:uiPriority w:val="39"/>
    <w:pPr>
      <w:tabs>
        <w:tab w:val="right" w:leader="dot" w:pos="8296"/>
      </w:tabs>
      <w:ind w:firstLine="0" w:firstLineChars="0"/>
      <w:jc w:val="center"/>
    </w:pPr>
    <w:rPr>
      <w:b/>
    </w:rPr>
  </w:style>
  <w:style w:type="paragraph" w:styleId="12">
    <w:name w:val="toc 2"/>
    <w:basedOn w:val="1"/>
    <w:next w:val="1"/>
    <w:unhideWhenUsed/>
    <w:qFormat/>
    <w:uiPriority w:val="39"/>
    <w:pPr>
      <w:ind w:left="420" w:leftChars="200" w:firstLine="0" w:firstLineChars="0"/>
    </w:p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标题 1 字符"/>
    <w:basedOn w:val="15"/>
    <w:link w:val="3"/>
    <w:qFormat/>
    <w:uiPriority w:val="9"/>
    <w:rPr>
      <w:rFonts w:ascii="黑体" w:hAnsi="黑体" w:eastAsia="黑体"/>
      <w:b/>
      <w:bCs/>
      <w:kern w:val="44"/>
      <w:sz w:val="32"/>
      <w:szCs w:val="32"/>
    </w:rPr>
  </w:style>
  <w:style w:type="paragraph" w:customStyle="1" w:styleId="17">
    <w:name w:val="表格"/>
    <w:basedOn w:val="1"/>
    <w:next w:val="1"/>
    <w:qFormat/>
    <w:uiPriority w:val="0"/>
    <w:pPr>
      <w:spacing w:line="240" w:lineRule="auto"/>
      <w:ind w:firstLine="0" w:firstLineChars="0"/>
      <w:jc w:val="center"/>
    </w:pPr>
    <w:rPr>
      <w:rFonts w:ascii="Times New Roman" w:hAnsi="Times New Roman"/>
      <w:sz w:val="24"/>
      <w:szCs w:val="24"/>
    </w:rPr>
  </w:style>
  <w:style w:type="character" w:customStyle="1" w:styleId="18">
    <w:name w:val="标题 2 字符"/>
    <w:basedOn w:val="15"/>
    <w:link w:val="4"/>
    <w:qFormat/>
    <w:uiPriority w:val="9"/>
    <w:rPr>
      <w:rFonts w:ascii="楷体" w:hAnsi="楷体" w:eastAsia="楷体" w:cstheme="majorBidi"/>
      <w:b/>
      <w:bCs/>
      <w:kern w:val="2"/>
      <w:sz w:val="32"/>
      <w:szCs w:val="32"/>
    </w:rPr>
  </w:style>
  <w:style w:type="paragraph" w:customStyle="1" w:styleId="19">
    <w:name w:val="表头"/>
    <w:basedOn w:val="1"/>
    <w:next w:val="1"/>
    <w:qFormat/>
    <w:uiPriority w:val="0"/>
    <w:pPr>
      <w:spacing w:before="100" w:after="100"/>
      <w:jc w:val="center"/>
    </w:pPr>
    <w:rPr>
      <w:rFonts w:ascii="Times New Roman" w:hAnsi="Times New Roman"/>
      <w:b/>
      <w:bCs/>
      <w:szCs w:val="28"/>
    </w:rPr>
  </w:style>
  <w:style w:type="character" w:customStyle="1" w:styleId="20">
    <w:name w:val="页脚 字符"/>
    <w:basedOn w:val="15"/>
    <w:link w:val="9"/>
    <w:qFormat/>
    <w:uiPriority w:val="99"/>
    <w:rPr>
      <w:rFonts w:eastAsia="仿宋"/>
      <w:sz w:val="28"/>
      <w:szCs w:val="28"/>
    </w:rPr>
  </w:style>
  <w:style w:type="character" w:customStyle="1" w:styleId="21">
    <w:name w:val="标题 3 字符"/>
    <w:basedOn w:val="15"/>
    <w:link w:val="5"/>
    <w:qFormat/>
    <w:uiPriority w:val="9"/>
    <w:rPr>
      <w:rFonts w:ascii="宋体" w:hAnsi="宋体" w:eastAsia="仿宋"/>
      <w:b/>
      <w:bCs/>
      <w:kern w:val="2"/>
      <w:sz w:val="32"/>
      <w:szCs w:val="32"/>
    </w:rPr>
  </w:style>
  <w:style w:type="character" w:customStyle="1" w:styleId="22">
    <w:name w:val="标题 4 字符"/>
    <w:basedOn w:val="15"/>
    <w:link w:val="6"/>
    <w:semiHidden/>
    <w:qFormat/>
    <w:uiPriority w:val="9"/>
    <w:rPr>
      <w:rFonts w:asciiTheme="majorHAnsi" w:hAnsiTheme="majorHAnsi" w:eastAsiaTheme="majorEastAsia" w:cstheme="majorBidi"/>
      <w:b/>
      <w:bCs/>
      <w:kern w:val="2"/>
      <w:sz w:val="28"/>
      <w:szCs w:val="28"/>
    </w:rPr>
  </w:style>
  <w:style w:type="paragraph" w:customStyle="1" w:styleId="23">
    <w:name w:val="本模板"/>
    <w:basedOn w:val="1"/>
    <w:next w:val="1"/>
    <w:qFormat/>
    <w:uiPriority w:val="0"/>
    <w:pPr>
      <w:ind w:firstLine="0" w:firstLineChars="0"/>
      <w:jc w:val="center"/>
    </w:pPr>
  </w:style>
  <w:style w:type="paragraph" w:customStyle="1" w:styleId="24">
    <w:name w:val="由"/>
    <w:basedOn w:val="1"/>
    <w:qFormat/>
    <w:uiPriority w:val="0"/>
    <w:pPr>
      <w:ind w:firstLine="0" w:firstLineChars="0"/>
      <w:jc w:val="center"/>
    </w:pPr>
  </w:style>
  <w:style w:type="paragraph" w:customStyle="1" w:styleId="25">
    <w:name w:val="昭元绩效"/>
    <w:basedOn w:val="1"/>
    <w:qFormat/>
    <w:uiPriority w:val="0"/>
    <w:pPr>
      <w:spacing w:line="360" w:lineRule="auto"/>
      <w:ind w:firstLine="0" w:firstLineChars="0"/>
      <w:jc w:val="center"/>
    </w:pPr>
    <w:rPr>
      <w:rFonts w:eastAsia="宋体"/>
      <w:b/>
      <w:bCs/>
      <w:sz w:val="44"/>
      <w:szCs w:val="44"/>
    </w:rPr>
  </w:style>
  <w:style w:type="paragraph" w:customStyle="1" w:styleId="26">
    <w:name w:val="提供"/>
    <w:basedOn w:val="1"/>
    <w:qFormat/>
    <w:uiPriority w:val="0"/>
    <w:pPr>
      <w:ind w:firstLine="0" w:firstLineChars="0"/>
      <w:jc w:val="center"/>
    </w:pPr>
  </w:style>
  <w:style w:type="paragraph" w:customStyle="1" w:styleId="27">
    <w:name w:val="版权所有"/>
    <w:basedOn w:val="1"/>
    <w:qFormat/>
    <w:uiPriority w:val="0"/>
    <w:pPr>
      <w:ind w:firstLine="0" w:firstLineChars="0"/>
      <w:jc w:val="center"/>
    </w:pPr>
  </w:style>
  <w:style w:type="paragraph" w:customStyle="1" w:styleId="28">
    <w:name w:val="电话15515993457"/>
    <w:basedOn w:val="1"/>
    <w:qFormat/>
    <w:uiPriority w:val="0"/>
    <w:pPr>
      <w:ind w:firstLine="0" w:firstLineChars="0"/>
      <w:jc w:val="center"/>
    </w:pPr>
  </w:style>
  <w:style w:type="character" w:customStyle="1" w:styleId="29">
    <w:name w:val="font71"/>
    <w:basedOn w:val="15"/>
    <w:qFormat/>
    <w:uiPriority w:val="0"/>
    <w:rPr>
      <w:rFonts w:hint="eastAsia" w:ascii="宋体" w:hAnsi="宋体" w:eastAsia="宋体" w:cs="宋体"/>
      <w:color w:val="000000"/>
      <w:sz w:val="18"/>
      <w:szCs w:val="18"/>
      <w:u w:val="none"/>
    </w:rPr>
  </w:style>
  <w:style w:type="character" w:customStyle="1" w:styleId="30">
    <w:name w:val="font11"/>
    <w:basedOn w:val="15"/>
    <w:qFormat/>
    <w:uiPriority w:val="0"/>
    <w:rPr>
      <w:rFonts w:hint="eastAsia" w:ascii="宋体" w:hAnsi="宋体" w:eastAsia="宋体" w:cs="宋体"/>
      <w:color w:val="000000"/>
      <w:sz w:val="18"/>
      <w:szCs w:val="18"/>
      <w:u w:val="none"/>
    </w:rPr>
  </w:style>
  <w:style w:type="character" w:customStyle="1" w:styleId="31">
    <w:name w:val="font41"/>
    <w:basedOn w:val="1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99D5DC-E1BF-468F-8212-19D77A8739EF}">
  <ds:schemaRefs/>
</ds:datastoreItem>
</file>

<file path=docProps/app.xml><?xml version="1.0" encoding="utf-8"?>
<Properties xmlns="http://schemas.openxmlformats.org/officeDocument/2006/extended-properties" xmlns:vt="http://schemas.openxmlformats.org/officeDocument/2006/docPropsVTypes">
  <Template>Normal.dotm</Template>
  <Manager>郭良雨</Manager>
  <Company>昭元绩效</Company>
  <Pages>16</Pages>
  <Words>6667</Words>
  <Characters>6962</Characters>
  <Lines>42</Lines>
  <Paragraphs>11</Paragraphs>
  <TotalTime>1</TotalTime>
  <ScaleCrop>false</ScaleCrop>
  <LinksUpToDate>false</LinksUpToDate>
  <CharactersWithSpaces>7017</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15515993457</cp:category>
  <dcterms:created xsi:type="dcterms:W3CDTF">2021-08-08T08:37:00Z</dcterms:created>
  <dc:creator>hnzyzd@163.com; 昭元绩效</dc:creator>
  <dc:description>昭元自评模板</dc:description>
  <cp:keywords>15515993457</cp:keywords>
  <cp:lastModifiedBy>Administrator</cp:lastModifiedBy>
  <dcterms:modified xsi:type="dcterms:W3CDTF">2022-06-07T03:24:57Z</dcterms:modified>
  <dc:subject>15515993457</dc:subject>
  <dc:title>昭元自评模板</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8040E5319DF8438F9AF461AC7598704D</vt:lpwstr>
  </property>
</Properties>
</file>