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7"/>
      </w:pPr>
      <w:bookmarkStart w:id="0" w:name="_Toc11908"/>
    </w:p>
    <w:p>
      <w:pPr>
        <w:ind w:firstLine="0" w:firstLineChars="0"/>
        <w:jc w:val="center"/>
        <w:rPr>
          <w:rFonts w:ascii="宋体" w:hAnsi="宋体" w:eastAsia="宋体"/>
          <w:b/>
          <w:sz w:val="52"/>
          <w:szCs w:val="52"/>
        </w:rPr>
      </w:pPr>
    </w:p>
    <w:p>
      <w:pPr>
        <w:pStyle w:val="25"/>
        <w:rPr>
          <w:rFonts w:hint="eastAsia" w:ascii="宋体" w:hAnsi="宋体" w:cs="宋体"/>
          <w:sz w:val="52"/>
          <w:szCs w:val="52"/>
        </w:rPr>
      </w:pPr>
      <w:r>
        <w:rPr>
          <w:rFonts w:hint="eastAsia" w:ascii="宋体" w:hAnsi="宋体" w:cs="宋体"/>
          <w:sz w:val="52"/>
          <w:szCs w:val="52"/>
        </w:rPr>
        <w:t>侨务专项经费（侨联）</w:t>
      </w:r>
    </w:p>
    <w:p>
      <w:pPr>
        <w:pStyle w:val="25"/>
        <w:rPr>
          <w:rFonts w:ascii="宋体" w:hAnsi="宋体" w:cs="宋体"/>
        </w:rPr>
      </w:pPr>
      <w:r>
        <w:rPr>
          <w:rFonts w:hint="eastAsia" w:ascii="宋体" w:hAnsi="宋体" w:cs="宋体"/>
          <w:sz w:val="52"/>
          <w:szCs w:val="52"/>
        </w:rPr>
        <w:t>项目支出绩效自评报告</w:t>
      </w:r>
    </w:p>
    <w:p>
      <w:pPr>
        <w:ind w:firstLine="0" w:firstLineChars="0"/>
        <w:jc w:val="center"/>
        <w:rPr>
          <w:rFonts w:ascii="宋体" w:hAnsi="宋体" w:eastAsia="宋体"/>
          <w:b/>
          <w:sz w:val="52"/>
          <w:szCs w:val="52"/>
        </w:rPr>
      </w:pPr>
    </w:p>
    <w:p>
      <w:pPr>
        <w:ind w:firstLine="0" w:firstLineChars="0"/>
        <w:jc w:val="center"/>
      </w:pPr>
    </w:p>
    <w:p>
      <w:pPr>
        <w:ind w:firstLine="0" w:firstLineChars="0"/>
        <w:jc w:val="center"/>
        <w:rPr>
          <w:rFonts w:ascii="宋体" w:hAnsi="宋体" w:eastAsia="宋体"/>
          <w:b/>
          <w:sz w:val="52"/>
          <w:szCs w:val="52"/>
        </w:rPr>
      </w:pPr>
    </w:p>
    <w:p>
      <w:pPr>
        <w:pStyle w:val="27"/>
      </w:pPr>
    </w:p>
    <w:p>
      <w:pPr>
        <w:ind w:firstLine="0" w:firstLineChars="0"/>
        <w:jc w:val="center"/>
        <w:rPr>
          <w:rFonts w:ascii="宋体" w:hAnsi="宋体" w:eastAsia="宋体"/>
          <w:b/>
          <w:sz w:val="52"/>
          <w:szCs w:val="52"/>
        </w:rPr>
      </w:pPr>
    </w:p>
    <w:p>
      <w:pPr>
        <w:ind w:firstLine="0" w:firstLineChars="0"/>
        <w:jc w:val="center"/>
        <w:rPr>
          <w:rFonts w:ascii="宋体" w:hAnsi="宋体" w:eastAsia="宋体"/>
          <w:b/>
          <w:sz w:val="52"/>
          <w:szCs w:val="52"/>
        </w:rPr>
      </w:pPr>
    </w:p>
    <w:p>
      <w:pPr>
        <w:ind w:firstLine="0" w:firstLineChars="0"/>
        <w:jc w:val="center"/>
        <w:rPr>
          <w:rFonts w:ascii="宋体" w:hAnsi="宋体" w:eastAsia="宋体"/>
          <w:b/>
          <w:sz w:val="52"/>
          <w:szCs w:val="52"/>
        </w:rPr>
      </w:pPr>
    </w:p>
    <w:p>
      <w:pPr>
        <w:ind w:firstLine="0" w:firstLineChars="0"/>
        <w:jc w:val="center"/>
        <w:rPr>
          <w:rFonts w:ascii="宋体" w:hAnsi="宋体" w:eastAsia="宋体"/>
          <w:b/>
          <w:sz w:val="52"/>
          <w:szCs w:val="52"/>
        </w:rPr>
      </w:pPr>
    </w:p>
    <w:p>
      <w:pPr>
        <w:ind w:firstLine="0" w:firstLineChars="0"/>
        <w:jc w:val="center"/>
        <w:rPr>
          <w:rFonts w:ascii="宋体" w:hAnsi="宋体" w:eastAsia="宋体"/>
          <w:b/>
          <w:sz w:val="52"/>
          <w:szCs w:val="52"/>
        </w:rPr>
      </w:pPr>
    </w:p>
    <w:p>
      <w:pPr>
        <w:ind w:firstLine="0" w:firstLineChars="0"/>
        <w:jc w:val="center"/>
        <w:rPr>
          <w:rFonts w:ascii="宋体" w:hAnsi="宋体" w:eastAsia="宋体"/>
          <w:b/>
          <w:sz w:val="52"/>
          <w:szCs w:val="52"/>
        </w:rPr>
      </w:pPr>
    </w:p>
    <w:p>
      <w:pPr>
        <w:ind w:firstLine="0" w:firstLineChars="0"/>
        <w:jc w:val="center"/>
        <w:rPr>
          <w:rFonts w:ascii="宋体" w:hAnsi="宋体" w:eastAsia="宋体"/>
          <w:b/>
          <w:sz w:val="52"/>
          <w:szCs w:val="52"/>
        </w:rPr>
      </w:pPr>
    </w:p>
    <w:p>
      <w:pPr>
        <w:ind w:firstLine="0" w:firstLineChars="0"/>
        <w:jc w:val="center"/>
        <w:rPr>
          <w:rFonts w:ascii="宋体" w:hAnsi="宋体" w:eastAsia="宋体"/>
          <w:b/>
          <w:sz w:val="52"/>
          <w:szCs w:val="52"/>
        </w:rPr>
      </w:pPr>
    </w:p>
    <w:p>
      <w:pPr>
        <w:ind w:firstLine="0" w:firstLineChars="0"/>
        <w:jc w:val="center"/>
        <w:rPr>
          <w:rFonts w:ascii="宋体" w:hAnsi="宋体" w:eastAsia="宋体"/>
          <w:b/>
          <w:sz w:val="36"/>
          <w:szCs w:val="36"/>
        </w:rPr>
      </w:pPr>
    </w:p>
    <w:p>
      <w:pPr>
        <w:ind w:firstLine="0" w:firstLineChars="0"/>
        <w:jc w:val="center"/>
        <w:rPr>
          <w:rFonts w:ascii="宋体" w:hAnsi="宋体" w:eastAsia="宋体"/>
          <w:b/>
          <w:sz w:val="36"/>
          <w:szCs w:val="36"/>
        </w:rPr>
      </w:pPr>
    </w:p>
    <w:p>
      <w:pPr>
        <w:ind w:firstLine="0" w:firstLineChars="0"/>
        <w:jc w:val="center"/>
        <w:rPr>
          <w:rFonts w:ascii="宋体" w:hAnsi="宋体" w:eastAsia="宋体"/>
          <w:b/>
          <w:sz w:val="36"/>
          <w:szCs w:val="36"/>
        </w:rPr>
      </w:pPr>
    </w:p>
    <w:p>
      <w:pPr>
        <w:ind w:firstLine="0" w:firstLineChars="0"/>
        <w:jc w:val="center"/>
        <w:rPr>
          <w:rFonts w:hint="eastAsia" w:ascii="宋体" w:hAnsi="宋体" w:eastAsia="宋体"/>
          <w:b/>
          <w:highlight w:val="none"/>
        </w:rPr>
      </w:pPr>
      <w:r>
        <w:rPr>
          <w:rFonts w:hint="eastAsia" w:ascii="宋体" w:hAnsi="宋体" w:eastAsia="宋体"/>
          <w:b/>
          <w:highlight w:val="none"/>
        </w:rPr>
        <w:t>自评单位：中共三门峡市委统一战线工作部</w:t>
      </w:r>
    </w:p>
    <w:p>
      <w:pPr>
        <w:ind w:firstLine="0" w:firstLineChars="0"/>
        <w:jc w:val="center"/>
        <w:rPr>
          <w:rFonts w:ascii="宋体" w:hAnsi="宋体" w:eastAsia="宋体"/>
          <w:b/>
          <w:highlight w:val="none"/>
        </w:rPr>
      </w:pPr>
      <w:r>
        <w:rPr>
          <w:rFonts w:hint="eastAsia" w:ascii="宋体" w:hAnsi="宋体" w:eastAsia="宋体"/>
          <w:b/>
          <w:highlight w:val="none"/>
        </w:rPr>
        <w:t>日    期：2022年5月6日</w:t>
      </w:r>
    </w:p>
    <w:p>
      <w:pPr>
        <w:pStyle w:val="11"/>
        <w:rPr>
          <w:highlight w:val="yellow"/>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pPr>
        <w:ind w:firstLine="0" w:firstLineChars="0"/>
        <w:jc w:val="center"/>
        <w:rPr>
          <w:b/>
          <w:bCs/>
          <w:highlight w:val="none"/>
        </w:rPr>
      </w:pPr>
      <w:r>
        <w:rPr>
          <w:rFonts w:hint="eastAsia"/>
          <w:b/>
          <w:bCs/>
          <w:sz w:val="36"/>
          <w:szCs w:val="36"/>
          <w:highlight w:val="none"/>
        </w:rPr>
        <w:t>目</w:t>
      </w:r>
      <w:r>
        <w:rPr>
          <w:b/>
          <w:bCs/>
          <w:sz w:val="36"/>
          <w:szCs w:val="36"/>
          <w:highlight w:val="none"/>
        </w:rPr>
        <w:t xml:space="preserve"> </w:t>
      </w:r>
      <w:r>
        <w:rPr>
          <w:rFonts w:hint="eastAsia"/>
          <w:b/>
          <w:bCs/>
          <w:sz w:val="36"/>
          <w:szCs w:val="36"/>
          <w:highlight w:val="none"/>
        </w:rPr>
        <w:t xml:space="preserve"> 录</w:t>
      </w:r>
    </w:p>
    <w:p>
      <w:pPr>
        <w:pStyle w:val="11"/>
        <w:tabs>
          <w:tab w:val="right" w:leader="dot" w:pos="8306"/>
          <w:tab w:val="clear" w:pos="8296"/>
        </w:tabs>
      </w:pPr>
      <w:r>
        <w:fldChar w:fldCharType="begin"/>
      </w:r>
      <w:r>
        <w:instrText xml:space="preserve">TOC \o "1-2" \h \u </w:instrText>
      </w:r>
      <w:r>
        <w:fldChar w:fldCharType="separate"/>
      </w:r>
      <w:r>
        <w:fldChar w:fldCharType="begin"/>
      </w:r>
      <w:r>
        <w:instrText xml:space="preserve"> HYPERLINK \l _Toc4229 </w:instrText>
      </w:r>
      <w:r>
        <w:fldChar w:fldCharType="separate"/>
      </w:r>
      <w:r>
        <w:rPr>
          <w:rFonts w:hint="eastAsia"/>
        </w:rPr>
        <w:t>一、项目基本情况</w:t>
      </w:r>
      <w:r>
        <w:tab/>
      </w:r>
      <w:r>
        <w:fldChar w:fldCharType="begin"/>
      </w:r>
      <w:r>
        <w:instrText xml:space="preserve"> PAGEREF _Toc4229 \h </w:instrText>
      </w:r>
      <w:r>
        <w:fldChar w:fldCharType="separate"/>
      </w:r>
      <w:r>
        <w:t>1</w:t>
      </w:r>
      <w:r>
        <w:fldChar w:fldCharType="end"/>
      </w:r>
      <w:r>
        <w:fldChar w:fldCharType="end"/>
      </w:r>
    </w:p>
    <w:p>
      <w:pPr>
        <w:pStyle w:val="12"/>
        <w:tabs>
          <w:tab w:val="right" w:leader="dot" w:pos="8306"/>
        </w:tabs>
      </w:pPr>
      <w:r>
        <w:fldChar w:fldCharType="begin"/>
      </w:r>
      <w:r>
        <w:instrText xml:space="preserve"> HYPERLINK \l _Toc1414 </w:instrText>
      </w:r>
      <w:r>
        <w:fldChar w:fldCharType="separate"/>
      </w:r>
      <w:r>
        <w:rPr>
          <w:rFonts w:hint="eastAsia"/>
        </w:rPr>
        <w:t>（一）项目基本信息</w:t>
      </w:r>
      <w:r>
        <w:tab/>
      </w:r>
      <w:r>
        <w:fldChar w:fldCharType="begin"/>
      </w:r>
      <w:r>
        <w:instrText xml:space="preserve"> PAGEREF _Toc1414 \h </w:instrText>
      </w:r>
      <w:r>
        <w:fldChar w:fldCharType="separate"/>
      </w:r>
      <w:r>
        <w:t>1</w:t>
      </w:r>
      <w:r>
        <w:fldChar w:fldCharType="end"/>
      </w:r>
      <w:r>
        <w:fldChar w:fldCharType="end"/>
      </w:r>
    </w:p>
    <w:p>
      <w:pPr>
        <w:pStyle w:val="12"/>
        <w:tabs>
          <w:tab w:val="right" w:leader="dot" w:pos="8306"/>
        </w:tabs>
      </w:pPr>
      <w:r>
        <w:fldChar w:fldCharType="begin"/>
      </w:r>
      <w:r>
        <w:instrText xml:space="preserve"> HYPERLINK \l _Toc3207 </w:instrText>
      </w:r>
      <w:r>
        <w:fldChar w:fldCharType="separate"/>
      </w:r>
      <w:r>
        <w:rPr>
          <w:rFonts w:hint="eastAsia"/>
        </w:rPr>
        <w:t>（二）项目支出情况</w:t>
      </w:r>
      <w:r>
        <w:tab/>
      </w:r>
      <w:r>
        <w:fldChar w:fldCharType="begin"/>
      </w:r>
      <w:r>
        <w:instrText xml:space="preserve"> PAGEREF _Toc3207 \h </w:instrText>
      </w:r>
      <w:r>
        <w:fldChar w:fldCharType="separate"/>
      </w:r>
      <w:r>
        <w:t>2</w:t>
      </w:r>
      <w:r>
        <w:fldChar w:fldCharType="end"/>
      </w:r>
      <w:r>
        <w:fldChar w:fldCharType="end"/>
      </w:r>
    </w:p>
    <w:p>
      <w:pPr>
        <w:pStyle w:val="11"/>
        <w:tabs>
          <w:tab w:val="right" w:leader="dot" w:pos="8306"/>
          <w:tab w:val="clear" w:pos="8296"/>
        </w:tabs>
      </w:pPr>
      <w:r>
        <w:fldChar w:fldCharType="begin"/>
      </w:r>
      <w:r>
        <w:instrText xml:space="preserve"> HYPERLINK \l _Toc25195 </w:instrText>
      </w:r>
      <w:r>
        <w:fldChar w:fldCharType="separate"/>
      </w:r>
      <w:r>
        <w:rPr>
          <w:rFonts w:hint="eastAsia"/>
        </w:rPr>
        <w:t>二、绩效自评工作开展情况</w:t>
      </w:r>
      <w:r>
        <w:tab/>
      </w:r>
      <w:r>
        <w:fldChar w:fldCharType="begin"/>
      </w:r>
      <w:r>
        <w:instrText xml:space="preserve"> PAGEREF _Toc25195 \h </w:instrText>
      </w:r>
      <w:r>
        <w:fldChar w:fldCharType="separate"/>
      </w:r>
      <w:r>
        <w:t>2</w:t>
      </w:r>
      <w:r>
        <w:fldChar w:fldCharType="end"/>
      </w:r>
      <w:r>
        <w:fldChar w:fldCharType="end"/>
      </w:r>
    </w:p>
    <w:p>
      <w:pPr>
        <w:pStyle w:val="12"/>
        <w:tabs>
          <w:tab w:val="right" w:leader="dot" w:pos="8306"/>
        </w:tabs>
      </w:pPr>
      <w:r>
        <w:fldChar w:fldCharType="begin"/>
      </w:r>
      <w:r>
        <w:instrText xml:space="preserve"> HYPERLINK \l _Toc2358 </w:instrText>
      </w:r>
      <w:r>
        <w:fldChar w:fldCharType="separate"/>
      </w:r>
      <w:r>
        <w:rPr>
          <w:rFonts w:hint="eastAsia"/>
        </w:rPr>
        <w:t>（一）绩效自评价目的和意义</w:t>
      </w:r>
      <w:r>
        <w:tab/>
      </w:r>
      <w:r>
        <w:fldChar w:fldCharType="begin"/>
      </w:r>
      <w:r>
        <w:instrText xml:space="preserve"> PAGEREF _Toc2358 \h </w:instrText>
      </w:r>
      <w:r>
        <w:fldChar w:fldCharType="separate"/>
      </w:r>
      <w:r>
        <w:t>2</w:t>
      </w:r>
      <w:r>
        <w:fldChar w:fldCharType="end"/>
      </w:r>
      <w:r>
        <w:fldChar w:fldCharType="end"/>
      </w:r>
    </w:p>
    <w:p>
      <w:pPr>
        <w:pStyle w:val="12"/>
        <w:tabs>
          <w:tab w:val="right" w:leader="dot" w:pos="8306"/>
        </w:tabs>
      </w:pPr>
      <w:r>
        <w:fldChar w:fldCharType="begin"/>
      </w:r>
      <w:r>
        <w:instrText xml:space="preserve"> HYPERLINK \l _Toc28012 </w:instrText>
      </w:r>
      <w:r>
        <w:fldChar w:fldCharType="separate"/>
      </w:r>
      <w:r>
        <w:rPr>
          <w:rFonts w:hint="eastAsia"/>
        </w:rPr>
        <w:t>（二）绩效自评价对象和范围</w:t>
      </w:r>
      <w:r>
        <w:tab/>
      </w:r>
      <w:r>
        <w:fldChar w:fldCharType="begin"/>
      </w:r>
      <w:r>
        <w:instrText xml:space="preserve"> PAGEREF _Toc28012 \h </w:instrText>
      </w:r>
      <w:r>
        <w:fldChar w:fldCharType="separate"/>
      </w:r>
      <w:r>
        <w:t>2</w:t>
      </w:r>
      <w:r>
        <w:fldChar w:fldCharType="end"/>
      </w:r>
      <w:r>
        <w:fldChar w:fldCharType="end"/>
      </w:r>
    </w:p>
    <w:p>
      <w:pPr>
        <w:pStyle w:val="12"/>
        <w:tabs>
          <w:tab w:val="right" w:leader="dot" w:pos="8306"/>
        </w:tabs>
      </w:pPr>
      <w:r>
        <w:fldChar w:fldCharType="begin"/>
      </w:r>
      <w:r>
        <w:instrText xml:space="preserve"> HYPERLINK \l _Toc30750 </w:instrText>
      </w:r>
      <w:r>
        <w:fldChar w:fldCharType="separate"/>
      </w:r>
      <w:r>
        <w:rPr>
          <w:rFonts w:hint="eastAsia"/>
        </w:rPr>
        <w:t>（三）绩效评价的依据</w:t>
      </w:r>
      <w:r>
        <w:tab/>
      </w:r>
      <w:r>
        <w:fldChar w:fldCharType="begin"/>
      </w:r>
      <w:r>
        <w:instrText xml:space="preserve"> PAGEREF _Toc30750 \h </w:instrText>
      </w:r>
      <w:r>
        <w:fldChar w:fldCharType="separate"/>
      </w:r>
      <w:r>
        <w:t>3</w:t>
      </w:r>
      <w:r>
        <w:fldChar w:fldCharType="end"/>
      </w:r>
      <w:r>
        <w:fldChar w:fldCharType="end"/>
      </w:r>
    </w:p>
    <w:p>
      <w:pPr>
        <w:pStyle w:val="12"/>
        <w:tabs>
          <w:tab w:val="right" w:leader="dot" w:pos="8306"/>
        </w:tabs>
      </w:pPr>
      <w:r>
        <w:fldChar w:fldCharType="begin"/>
      </w:r>
      <w:r>
        <w:instrText xml:space="preserve"> HYPERLINK \l _Toc17978 </w:instrText>
      </w:r>
      <w:r>
        <w:fldChar w:fldCharType="separate"/>
      </w:r>
      <w:r>
        <w:rPr>
          <w:rFonts w:hint="eastAsia"/>
        </w:rPr>
        <w:t>（四）评分方法</w:t>
      </w:r>
      <w:r>
        <w:tab/>
      </w:r>
      <w:r>
        <w:fldChar w:fldCharType="begin"/>
      </w:r>
      <w:r>
        <w:instrText xml:space="preserve"> PAGEREF _Toc17978 \h </w:instrText>
      </w:r>
      <w:r>
        <w:fldChar w:fldCharType="separate"/>
      </w:r>
      <w:r>
        <w:t>3</w:t>
      </w:r>
      <w:r>
        <w:fldChar w:fldCharType="end"/>
      </w:r>
      <w:r>
        <w:fldChar w:fldCharType="end"/>
      </w:r>
    </w:p>
    <w:p>
      <w:pPr>
        <w:pStyle w:val="12"/>
        <w:tabs>
          <w:tab w:val="right" w:leader="dot" w:pos="8306"/>
        </w:tabs>
      </w:pPr>
      <w:r>
        <w:fldChar w:fldCharType="begin"/>
      </w:r>
      <w:r>
        <w:instrText xml:space="preserve"> HYPERLINK \l _Toc30909 </w:instrText>
      </w:r>
      <w:r>
        <w:fldChar w:fldCharType="separate"/>
      </w:r>
      <w:r>
        <w:rPr>
          <w:rFonts w:hint="eastAsia"/>
        </w:rPr>
        <w:t>（五）绩效自评工作组织</w:t>
      </w:r>
      <w:r>
        <w:tab/>
      </w:r>
      <w:r>
        <w:fldChar w:fldCharType="begin"/>
      </w:r>
      <w:r>
        <w:instrText xml:space="preserve"> PAGEREF _Toc30909 \h </w:instrText>
      </w:r>
      <w:r>
        <w:fldChar w:fldCharType="separate"/>
      </w:r>
      <w:r>
        <w:t>4</w:t>
      </w:r>
      <w:r>
        <w:fldChar w:fldCharType="end"/>
      </w:r>
      <w:r>
        <w:fldChar w:fldCharType="end"/>
      </w:r>
    </w:p>
    <w:p>
      <w:pPr>
        <w:pStyle w:val="11"/>
        <w:tabs>
          <w:tab w:val="right" w:leader="dot" w:pos="8306"/>
          <w:tab w:val="clear" w:pos="8296"/>
        </w:tabs>
      </w:pPr>
      <w:r>
        <w:fldChar w:fldCharType="begin"/>
      </w:r>
      <w:r>
        <w:instrText xml:space="preserve"> HYPERLINK \l _Toc5217 </w:instrText>
      </w:r>
      <w:r>
        <w:fldChar w:fldCharType="separate"/>
      </w:r>
      <w:r>
        <w:rPr>
          <w:rFonts w:hint="eastAsia"/>
        </w:rPr>
        <w:t>三、绩效自评结果及分析</w:t>
      </w:r>
      <w:r>
        <w:tab/>
      </w:r>
      <w:r>
        <w:fldChar w:fldCharType="begin"/>
      </w:r>
      <w:r>
        <w:instrText xml:space="preserve"> PAGEREF _Toc5217 \h </w:instrText>
      </w:r>
      <w:r>
        <w:fldChar w:fldCharType="separate"/>
      </w:r>
      <w:r>
        <w:t>5</w:t>
      </w:r>
      <w:r>
        <w:fldChar w:fldCharType="end"/>
      </w:r>
      <w:r>
        <w:fldChar w:fldCharType="end"/>
      </w:r>
    </w:p>
    <w:p>
      <w:pPr>
        <w:pStyle w:val="12"/>
        <w:tabs>
          <w:tab w:val="right" w:leader="dot" w:pos="8306"/>
        </w:tabs>
      </w:pPr>
      <w:r>
        <w:fldChar w:fldCharType="begin"/>
      </w:r>
      <w:r>
        <w:instrText xml:space="preserve"> HYPERLINK \l _Toc19168 </w:instrText>
      </w:r>
      <w:r>
        <w:fldChar w:fldCharType="separate"/>
      </w:r>
      <w:r>
        <w:t>（一）绩效自评价结果</w:t>
      </w:r>
      <w:r>
        <w:tab/>
      </w:r>
      <w:r>
        <w:fldChar w:fldCharType="begin"/>
      </w:r>
      <w:r>
        <w:instrText xml:space="preserve"> PAGEREF _Toc19168 \h </w:instrText>
      </w:r>
      <w:r>
        <w:fldChar w:fldCharType="separate"/>
      </w:r>
      <w:r>
        <w:t>5</w:t>
      </w:r>
      <w:r>
        <w:fldChar w:fldCharType="end"/>
      </w:r>
      <w:r>
        <w:fldChar w:fldCharType="end"/>
      </w:r>
    </w:p>
    <w:p>
      <w:pPr>
        <w:pStyle w:val="12"/>
        <w:tabs>
          <w:tab w:val="right" w:leader="dot" w:pos="8306"/>
        </w:tabs>
      </w:pPr>
      <w:r>
        <w:fldChar w:fldCharType="begin"/>
      </w:r>
      <w:r>
        <w:instrText xml:space="preserve"> HYPERLINK \l _Toc25168 </w:instrText>
      </w:r>
      <w:r>
        <w:fldChar w:fldCharType="separate"/>
      </w:r>
      <w:r>
        <w:rPr>
          <w:rFonts w:hint="eastAsia"/>
        </w:rPr>
        <w:t>（二）自评指标分析</w:t>
      </w:r>
      <w:r>
        <w:tab/>
      </w:r>
      <w:r>
        <w:fldChar w:fldCharType="begin"/>
      </w:r>
      <w:r>
        <w:instrText xml:space="preserve"> PAGEREF _Toc25168 \h </w:instrText>
      </w:r>
      <w:r>
        <w:fldChar w:fldCharType="separate"/>
      </w:r>
      <w:r>
        <w:t>6</w:t>
      </w:r>
      <w:r>
        <w:fldChar w:fldCharType="end"/>
      </w:r>
      <w:r>
        <w:fldChar w:fldCharType="end"/>
      </w:r>
    </w:p>
    <w:p>
      <w:pPr>
        <w:pStyle w:val="11"/>
        <w:tabs>
          <w:tab w:val="right" w:leader="dot" w:pos="8306"/>
          <w:tab w:val="clear" w:pos="8296"/>
        </w:tabs>
      </w:pPr>
      <w:r>
        <w:fldChar w:fldCharType="begin"/>
      </w:r>
      <w:r>
        <w:instrText xml:space="preserve"> HYPERLINK \l _Toc9645 </w:instrText>
      </w:r>
      <w:r>
        <w:fldChar w:fldCharType="separate"/>
      </w:r>
      <w:r>
        <w:rPr>
          <w:rFonts w:hint="eastAsia"/>
        </w:rPr>
        <w:t>四、成果和问题</w:t>
      </w:r>
      <w:r>
        <w:tab/>
      </w:r>
      <w:r>
        <w:fldChar w:fldCharType="begin"/>
      </w:r>
      <w:r>
        <w:instrText xml:space="preserve"> PAGEREF _Toc9645 \h </w:instrText>
      </w:r>
      <w:r>
        <w:fldChar w:fldCharType="separate"/>
      </w:r>
      <w:r>
        <w:t>10</w:t>
      </w:r>
      <w:r>
        <w:fldChar w:fldCharType="end"/>
      </w:r>
      <w:r>
        <w:fldChar w:fldCharType="end"/>
      </w:r>
    </w:p>
    <w:p>
      <w:pPr>
        <w:pStyle w:val="12"/>
        <w:tabs>
          <w:tab w:val="right" w:leader="dot" w:pos="8306"/>
        </w:tabs>
      </w:pPr>
      <w:r>
        <w:fldChar w:fldCharType="begin"/>
      </w:r>
      <w:r>
        <w:instrText xml:space="preserve"> HYPERLINK \l _Toc20288 </w:instrText>
      </w:r>
      <w:r>
        <w:fldChar w:fldCharType="separate"/>
      </w:r>
      <w:r>
        <w:rPr>
          <w:rFonts w:hint="eastAsia"/>
        </w:rPr>
        <w:t>（一）项目实施的成果</w:t>
      </w:r>
      <w:r>
        <w:tab/>
      </w:r>
      <w:r>
        <w:fldChar w:fldCharType="begin"/>
      </w:r>
      <w:r>
        <w:instrText xml:space="preserve"> PAGEREF _Toc20288 \h </w:instrText>
      </w:r>
      <w:r>
        <w:fldChar w:fldCharType="separate"/>
      </w:r>
      <w:r>
        <w:t>10</w:t>
      </w:r>
      <w:r>
        <w:fldChar w:fldCharType="end"/>
      </w:r>
      <w:r>
        <w:fldChar w:fldCharType="end"/>
      </w:r>
    </w:p>
    <w:p>
      <w:pPr>
        <w:pStyle w:val="12"/>
        <w:tabs>
          <w:tab w:val="right" w:leader="dot" w:pos="8306"/>
        </w:tabs>
      </w:pPr>
      <w:r>
        <w:fldChar w:fldCharType="begin"/>
      </w:r>
      <w:r>
        <w:instrText xml:space="preserve"> HYPERLINK \l _Toc1397 </w:instrText>
      </w:r>
      <w:r>
        <w:fldChar w:fldCharType="separate"/>
      </w:r>
      <w:r>
        <w:rPr>
          <w:rFonts w:hint="eastAsia"/>
        </w:rPr>
        <w:t>（二）项目存在的问题</w:t>
      </w:r>
      <w:r>
        <w:tab/>
      </w:r>
      <w:r>
        <w:fldChar w:fldCharType="begin"/>
      </w:r>
      <w:r>
        <w:instrText xml:space="preserve"> PAGEREF _Toc1397 \h </w:instrText>
      </w:r>
      <w:r>
        <w:fldChar w:fldCharType="separate"/>
      </w:r>
      <w:r>
        <w:t>10</w:t>
      </w:r>
      <w:r>
        <w:fldChar w:fldCharType="end"/>
      </w:r>
      <w:r>
        <w:fldChar w:fldCharType="end"/>
      </w:r>
    </w:p>
    <w:p>
      <w:pPr>
        <w:pStyle w:val="11"/>
        <w:tabs>
          <w:tab w:val="right" w:leader="dot" w:pos="8306"/>
          <w:tab w:val="clear" w:pos="8296"/>
        </w:tabs>
      </w:pPr>
      <w:r>
        <w:fldChar w:fldCharType="begin"/>
      </w:r>
      <w:r>
        <w:instrText xml:space="preserve"> HYPERLINK \l _Toc24630 </w:instrText>
      </w:r>
      <w:r>
        <w:fldChar w:fldCharType="separate"/>
      </w:r>
      <w:r>
        <w:rPr>
          <w:rFonts w:hint="eastAsia"/>
          <w:highlight w:val="none"/>
        </w:rPr>
        <w:t>五、建议</w:t>
      </w:r>
      <w:r>
        <w:tab/>
      </w:r>
      <w:r>
        <w:fldChar w:fldCharType="begin"/>
      </w:r>
      <w:r>
        <w:instrText xml:space="preserve"> PAGEREF _Toc24630 \h </w:instrText>
      </w:r>
      <w:r>
        <w:fldChar w:fldCharType="separate"/>
      </w:r>
      <w:r>
        <w:t>10</w:t>
      </w:r>
      <w:r>
        <w:fldChar w:fldCharType="end"/>
      </w:r>
      <w:r>
        <w:fldChar w:fldCharType="end"/>
      </w:r>
    </w:p>
    <w:p>
      <w:pPr>
        <w:pStyle w:val="12"/>
        <w:tabs>
          <w:tab w:val="right" w:leader="dot" w:pos="8306"/>
        </w:tabs>
      </w:pPr>
      <w:r>
        <w:fldChar w:fldCharType="begin"/>
      </w:r>
      <w:r>
        <w:instrText xml:space="preserve"> HYPERLINK \l _Toc21826 </w:instrText>
      </w:r>
      <w:r>
        <w:fldChar w:fldCharType="separate"/>
      </w:r>
      <w:r>
        <w:rPr>
          <w:rFonts w:hint="eastAsia"/>
          <w:highlight w:val="none"/>
        </w:rPr>
        <w:t>（一）强化预算绩效管理意识，提升项目产出效益</w:t>
      </w:r>
      <w:r>
        <w:tab/>
      </w:r>
      <w:r>
        <w:fldChar w:fldCharType="begin"/>
      </w:r>
      <w:r>
        <w:instrText xml:space="preserve"> PAGEREF _Toc21826 \h </w:instrText>
      </w:r>
      <w:r>
        <w:fldChar w:fldCharType="separate"/>
      </w:r>
      <w:r>
        <w:t>10</w:t>
      </w:r>
      <w:r>
        <w:fldChar w:fldCharType="end"/>
      </w:r>
      <w:r>
        <w:fldChar w:fldCharType="end"/>
      </w:r>
    </w:p>
    <w:p>
      <w:pPr>
        <w:pStyle w:val="12"/>
        <w:tabs>
          <w:tab w:val="right" w:leader="dot" w:pos="8306"/>
        </w:tabs>
      </w:pPr>
      <w:r>
        <w:fldChar w:fldCharType="begin"/>
      </w:r>
      <w:r>
        <w:instrText xml:space="preserve"> HYPERLINK \l _Toc11748 </w:instrText>
      </w:r>
      <w:r>
        <w:fldChar w:fldCharType="separate"/>
      </w:r>
      <w:r>
        <w:rPr>
          <w:rFonts w:hint="eastAsia"/>
          <w:highlight w:val="none"/>
        </w:rPr>
        <w:t>（二）加强学习培训，进一步提高绩效管理水平</w:t>
      </w:r>
      <w:r>
        <w:tab/>
      </w:r>
      <w:r>
        <w:fldChar w:fldCharType="begin"/>
      </w:r>
      <w:r>
        <w:instrText xml:space="preserve"> PAGEREF _Toc11748 \h </w:instrText>
      </w:r>
      <w:r>
        <w:fldChar w:fldCharType="separate"/>
      </w:r>
      <w:r>
        <w:t>11</w:t>
      </w:r>
      <w:r>
        <w:fldChar w:fldCharType="end"/>
      </w:r>
      <w:r>
        <w:fldChar w:fldCharType="end"/>
      </w:r>
    </w:p>
    <w:p>
      <w:pPr>
        <w:pStyle w:val="11"/>
        <w:tabs>
          <w:tab w:val="right" w:leader="dot" w:pos="8306"/>
          <w:tab w:val="clear" w:pos="8296"/>
        </w:tabs>
      </w:pPr>
      <w:r>
        <w:fldChar w:fldCharType="begin"/>
      </w:r>
      <w:r>
        <w:instrText xml:space="preserve"> HYPERLINK \l _Toc26014 </w:instrText>
      </w:r>
      <w:r>
        <w:fldChar w:fldCharType="separate"/>
      </w:r>
      <w:r>
        <w:rPr>
          <w:rFonts w:hint="eastAsia"/>
          <w:highlight w:val="none"/>
        </w:rPr>
        <w:t>六、其他需要说明的问题</w:t>
      </w:r>
      <w:r>
        <w:tab/>
      </w:r>
      <w:r>
        <w:fldChar w:fldCharType="begin"/>
      </w:r>
      <w:r>
        <w:instrText xml:space="preserve"> PAGEREF _Toc26014 \h </w:instrText>
      </w:r>
      <w:r>
        <w:fldChar w:fldCharType="separate"/>
      </w:r>
      <w:r>
        <w:t>11</w:t>
      </w:r>
      <w:r>
        <w:fldChar w:fldCharType="end"/>
      </w:r>
      <w:r>
        <w:fldChar w:fldCharType="end"/>
      </w:r>
    </w:p>
    <w:p>
      <w:pPr>
        <w:pStyle w:val="11"/>
        <w:tabs>
          <w:tab w:val="right" w:leader="dot" w:pos="8306"/>
          <w:tab w:val="clear" w:pos="8296"/>
        </w:tabs>
      </w:pPr>
      <w:r>
        <w:fldChar w:fldCharType="begin"/>
      </w:r>
      <w:r>
        <w:instrText xml:space="preserve"> HYPERLINK \l _Toc32450 </w:instrText>
      </w:r>
      <w:r>
        <w:fldChar w:fldCharType="separate"/>
      </w:r>
      <w:r>
        <w:rPr>
          <w:rFonts w:hint="eastAsia"/>
          <w:highlight w:val="none"/>
        </w:rPr>
        <w:t>七、附件</w:t>
      </w:r>
      <w:r>
        <w:tab/>
      </w:r>
      <w:r>
        <w:fldChar w:fldCharType="begin"/>
      </w:r>
      <w:r>
        <w:instrText xml:space="preserve"> PAGEREF _Toc32450 \h </w:instrText>
      </w:r>
      <w:r>
        <w:fldChar w:fldCharType="separate"/>
      </w:r>
      <w:r>
        <w:t>11</w:t>
      </w:r>
      <w:r>
        <w:fldChar w:fldCharType="end"/>
      </w:r>
      <w:r>
        <w:fldChar w:fldCharType="end"/>
      </w:r>
    </w:p>
    <w:p>
      <w:pPr>
        <w:ind w:firstLine="640"/>
        <w:sectPr>
          <w:footerReference r:id="rId5" w:type="default"/>
          <w:pgSz w:w="11906" w:h="16838"/>
          <w:pgMar w:top="1440" w:right="1800" w:bottom="1440" w:left="1800" w:header="851" w:footer="737" w:gutter="0"/>
          <w:pgBorders>
            <w:top w:val="none" w:sz="0" w:space="0"/>
            <w:left w:val="none" w:sz="0" w:space="0"/>
            <w:bottom w:val="none" w:sz="0" w:space="0"/>
            <w:right w:val="none" w:sz="0" w:space="0"/>
          </w:pgBorders>
          <w:pgNumType w:fmt="upperRoman" w:start="1"/>
          <w:cols w:space="425" w:num="1"/>
          <w:docGrid w:type="lines" w:linePitch="312" w:charSpace="0"/>
        </w:sectPr>
      </w:pPr>
      <w:r>
        <w:fldChar w:fldCharType="end"/>
      </w:r>
    </w:p>
    <w:p>
      <w:pPr>
        <w:pStyle w:val="3"/>
      </w:pPr>
      <w:bookmarkStart w:id="1" w:name="_Toc79333430"/>
      <w:bookmarkStart w:id="2" w:name="_Toc4229"/>
      <w:r>
        <w:rPr>
          <w:rFonts w:hint="eastAsia"/>
        </w:rPr>
        <w:t>一、项目基本情况</w:t>
      </w:r>
      <w:bookmarkEnd w:id="0"/>
      <w:bookmarkEnd w:id="1"/>
      <w:bookmarkEnd w:id="2"/>
    </w:p>
    <w:p>
      <w:pPr>
        <w:pStyle w:val="4"/>
      </w:pPr>
      <w:bookmarkStart w:id="3" w:name="_Toc79333431"/>
      <w:bookmarkStart w:id="4" w:name="_Toc1414"/>
      <w:bookmarkStart w:id="5" w:name="_Toc8110"/>
      <w:r>
        <w:rPr>
          <w:rFonts w:hint="eastAsia"/>
        </w:rPr>
        <w:t>（一）项目基本信息</w:t>
      </w:r>
      <w:bookmarkEnd w:id="3"/>
      <w:bookmarkEnd w:id="4"/>
      <w:bookmarkEnd w:id="5"/>
    </w:p>
    <w:p>
      <w:pPr>
        <w:pStyle w:val="5"/>
        <w:ind w:firstLine="643"/>
        <w:rPr>
          <w:rFonts w:hint="eastAsia" w:eastAsia="仿宋"/>
          <w:lang w:val="en-US" w:eastAsia="zh-CN"/>
        </w:rPr>
      </w:pPr>
      <w:bookmarkStart w:id="6" w:name="_Toc79333432"/>
      <w:r>
        <w:rPr>
          <w:rFonts w:hint="eastAsia"/>
        </w:rPr>
        <w:t>1、项目背景</w:t>
      </w:r>
      <w:bookmarkEnd w:id="6"/>
    </w:p>
    <w:p>
      <w:pPr>
        <w:ind w:firstLine="640"/>
        <w:rPr>
          <w:rFonts w:hint="eastAsia" w:ascii="Times New Roman" w:hAnsi="Times New Roman" w:eastAsia="仿宋_GB2312" w:cs="仿宋_GB2312"/>
          <w:color w:val="000000"/>
          <w:sz w:val="32"/>
          <w:szCs w:val="32"/>
        </w:rPr>
      </w:pPr>
      <w:bookmarkStart w:id="7" w:name="_Toc14372"/>
      <w:r>
        <w:rPr>
          <w:rFonts w:hint="eastAsia" w:ascii="Times New Roman" w:hAnsi="Times New Roman" w:eastAsia="仿宋_GB2312" w:cs="仿宋_GB2312"/>
          <w:color w:val="000000"/>
          <w:sz w:val="32"/>
          <w:szCs w:val="32"/>
        </w:rPr>
        <w:t>今年以来，在市委、市政府的正确领导下，</w:t>
      </w:r>
      <w:r>
        <w:rPr>
          <w:rFonts w:hint="eastAsia" w:ascii="Times New Roman" w:hAnsi="Times New Roman" w:eastAsia="仿宋_GB2312" w:cs="仿宋_GB2312"/>
          <w:color w:val="000000"/>
          <w:sz w:val="32"/>
          <w:szCs w:val="32"/>
          <w:lang w:eastAsia="zh-CN"/>
        </w:rPr>
        <w:t>在</w:t>
      </w:r>
      <w:r>
        <w:rPr>
          <w:rFonts w:hint="eastAsia" w:ascii="Times New Roman" w:hAnsi="Times New Roman" w:eastAsia="仿宋_GB2312" w:cs="仿宋_GB2312"/>
          <w:color w:val="000000"/>
          <w:sz w:val="32"/>
          <w:szCs w:val="32"/>
        </w:rPr>
        <w:t>省侨联和市委统战部的科学指导下，</w:t>
      </w:r>
      <w:r>
        <w:rPr>
          <w:rFonts w:hint="eastAsia" w:ascii="Times New Roman" w:hAnsi="Times New Roman" w:eastAsia="仿宋_GB2312" w:cs="仿宋_GB2312"/>
          <w:color w:val="000000"/>
          <w:sz w:val="32"/>
          <w:szCs w:val="32"/>
          <w:lang w:val="en-US" w:eastAsia="zh-CN"/>
        </w:rPr>
        <w:t>全市侨联系统以党的十九大和十九届五中、六中全会精神为指引，</w:t>
      </w:r>
      <w:r>
        <w:rPr>
          <w:rFonts w:hint="eastAsia" w:ascii="Times New Roman" w:hAnsi="Times New Roman" w:eastAsia="仿宋_GB2312" w:cs="仿宋_GB2312"/>
          <w:i w:val="0"/>
          <w:iCs w:val="0"/>
          <w:caps w:val="0"/>
          <w:color w:val="000000"/>
          <w:spacing w:val="0"/>
          <w:sz w:val="32"/>
          <w:szCs w:val="32"/>
        </w:rPr>
        <w:t>统一思想、提高站位，</w:t>
      </w:r>
      <w:r>
        <w:rPr>
          <w:rFonts w:hint="eastAsia" w:ascii="Times New Roman" w:hAnsi="Times New Roman" w:eastAsia="仿宋_GB2312" w:cs="仿宋_GB2312"/>
          <w:i w:val="0"/>
          <w:iCs w:val="0"/>
          <w:caps w:val="0"/>
          <w:color w:val="000000"/>
          <w:spacing w:val="0"/>
          <w:sz w:val="32"/>
          <w:szCs w:val="32"/>
          <w:lang w:eastAsia="zh-CN"/>
        </w:rPr>
        <w:t>以</w:t>
      </w:r>
      <w:r>
        <w:rPr>
          <w:rFonts w:hint="eastAsia" w:ascii="Times New Roman" w:hAnsi="Times New Roman" w:eastAsia="仿宋_GB2312" w:cs="仿宋_GB2312"/>
          <w:i w:val="0"/>
          <w:iCs w:val="0"/>
          <w:caps w:val="0"/>
          <w:color w:val="000000"/>
          <w:spacing w:val="0"/>
          <w:sz w:val="32"/>
          <w:szCs w:val="32"/>
        </w:rPr>
        <w:t>党史学习教育</w:t>
      </w:r>
      <w:r>
        <w:rPr>
          <w:rFonts w:hint="eastAsia" w:ascii="Times New Roman" w:hAnsi="Times New Roman" w:eastAsia="仿宋_GB2312" w:cs="仿宋_GB2312"/>
          <w:i w:val="0"/>
          <w:iCs w:val="0"/>
          <w:caps w:val="0"/>
          <w:color w:val="000000"/>
          <w:spacing w:val="0"/>
          <w:sz w:val="32"/>
          <w:szCs w:val="32"/>
          <w:lang w:eastAsia="zh-CN"/>
        </w:rPr>
        <w:t>活动为中心，</w:t>
      </w:r>
      <w:r>
        <w:rPr>
          <w:rFonts w:hint="eastAsia" w:ascii="Times New Roman" w:hAnsi="Times New Roman" w:eastAsia="仿宋_GB2312" w:cs="仿宋_GB2312"/>
          <w:i w:val="0"/>
          <w:iCs w:val="0"/>
          <w:caps w:val="0"/>
          <w:color w:val="000000"/>
          <w:spacing w:val="0"/>
          <w:sz w:val="32"/>
          <w:szCs w:val="32"/>
          <w:shd w:val="clear" w:color="auto" w:fill="FFFFFF"/>
        </w:rPr>
        <w:t>统筹安排专题学习、党史宣讲、专题培训、专题组织生活会、“我为群众办实事”等活动，突出学党史、悟思想、办实事、开新局，注重融入日常、抓在经常。</w:t>
      </w:r>
      <w:r>
        <w:rPr>
          <w:rFonts w:hint="eastAsia" w:ascii="Times New Roman" w:hAnsi="Times New Roman" w:eastAsia="仿宋_GB2312" w:cs="仿宋_GB2312"/>
          <w:i w:val="0"/>
          <w:iCs w:val="0"/>
          <w:caps w:val="0"/>
          <w:color w:val="000000"/>
          <w:spacing w:val="0"/>
          <w:sz w:val="32"/>
          <w:szCs w:val="32"/>
          <w:shd w:val="clear" w:color="auto" w:fill="FFFFFF"/>
          <w:lang w:eastAsia="zh-CN"/>
        </w:rPr>
        <w:t>同时</w:t>
      </w:r>
      <w:r>
        <w:rPr>
          <w:rFonts w:hint="eastAsia" w:ascii="Times New Roman" w:hAnsi="Times New Roman" w:eastAsia="仿宋_GB2312" w:cs="仿宋_GB2312"/>
          <w:i w:val="0"/>
          <w:iCs w:val="0"/>
          <w:caps w:val="0"/>
          <w:color w:val="000000"/>
          <w:spacing w:val="0"/>
          <w:sz w:val="32"/>
          <w:szCs w:val="32"/>
        </w:rPr>
        <w:t>以“四大工程”为依托</w:t>
      </w:r>
      <w:r>
        <w:rPr>
          <w:rFonts w:hint="eastAsia" w:ascii="Times New Roman" w:hAnsi="Times New Roman" w:eastAsia="仿宋_GB2312" w:cs="仿宋_GB2312"/>
          <w:i w:val="0"/>
          <w:iCs w:val="0"/>
          <w:caps w:val="0"/>
          <w:color w:val="000000"/>
          <w:spacing w:val="0"/>
          <w:sz w:val="32"/>
          <w:szCs w:val="32"/>
          <w:shd w:val="clear" w:color="auto" w:fill="FFFFFF"/>
          <w:lang w:eastAsia="zh-CN"/>
        </w:rPr>
        <w:t>，</w:t>
      </w:r>
      <w:r>
        <w:rPr>
          <w:rFonts w:hint="eastAsia" w:ascii="Times New Roman" w:hAnsi="Times New Roman" w:eastAsia="仿宋_GB2312" w:cs="仿宋_GB2312"/>
          <w:color w:val="000000"/>
          <w:sz w:val="32"/>
          <w:szCs w:val="32"/>
        </w:rPr>
        <w:t>坚持“国内海外工作并重、老侨新侨工作并重”和“拓展海外工作、拓展新侨工作”，聚焦保持和增强政治性、先进性、群众性，全面履行职能，</w:t>
      </w:r>
      <w:r>
        <w:rPr>
          <w:rFonts w:hint="eastAsia" w:ascii="Times New Roman" w:hAnsi="Times New Roman" w:eastAsia="仿宋_GB2312" w:cs="仿宋_GB2312"/>
          <w:color w:val="000000"/>
          <w:sz w:val="32"/>
          <w:szCs w:val="32"/>
          <w:lang w:val="en-US" w:eastAsia="zh-CN"/>
        </w:rPr>
        <w:t>积极服务我市实现更高水平的对外开放和高质量建成省际区域中心城市的大局</w:t>
      </w:r>
      <w:r>
        <w:rPr>
          <w:rFonts w:hint="eastAsia" w:ascii="Times New Roman" w:hAnsi="Times New Roman" w:eastAsia="仿宋_GB2312" w:cs="仿宋_GB2312"/>
          <w:color w:val="000000"/>
          <w:sz w:val="32"/>
          <w:szCs w:val="32"/>
        </w:rPr>
        <w:t>，各项工作在开拓中前进，</w:t>
      </w:r>
      <w:r>
        <w:rPr>
          <w:rFonts w:hint="eastAsia" w:ascii="Times New Roman" w:hAnsi="Times New Roman" w:eastAsia="仿宋_GB2312" w:cs="仿宋_GB2312"/>
          <w:color w:val="000000"/>
          <w:sz w:val="32"/>
          <w:szCs w:val="32"/>
          <w:lang w:val="en-US" w:eastAsia="zh-CN"/>
        </w:rPr>
        <w:t>侨联组织呈现出新气象、新面貌</w:t>
      </w:r>
      <w:r>
        <w:rPr>
          <w:rFonts w:hint="eastAsia" w:ascii="Times New Roman" w:hAnsi="Times New Roman" w:eastAsia="仿宋_GB2312" w:cs="仿宋_GB2312"/>
          <w:color w:val="000000"/>
          <w:sz w:val="32"/>
          <w:szCs w:val="32"/>
        </w:rPr>
        <w:t>。</w:t>
      </w:r>
    </w:p>
    <w:p>
      <w:pPr>
        <w:pStyle w:val="5"/>
        <w:ind w:firstLine="643"/>
        <w:rPr>
          <w:rFonts w:hint="eastAsia"/>
          <w:lang w:val="en-US" w:eastAsia="zh-CN"/>
        </w:rPr>
      </w:pPr>
      <w:r>
        <w:rPr>
          <w:rFonts w:hint="eastAsia"/>
          <w:lang w:val="en-US" w:eastAsia="zh-CN"/>
        </w:rPr>
        <w:t>2、</w:t>
      </w:r>
      <w:r>
        <w:rPr>
          <w:rFonts w:hint="eastAsia"/>
        </w:rPr>
        <w:t>项目实施内容</w:t>
      </w:r>
    </w:p>
    <w:p>
      <w:pPr>
        <w:pStyle w:val="2"/>
        <w:rPr>
          <w:rFonts w:hint="eastAsia"/>
        </w:rPr>
      </w:pPr>
      <w:r>
        <w:rPr>
          <w:rFonts w:hint="eastAsia" w:ascii="仿宋" w:hAnsi="仿宋" w:eastAsia="仿宋" w:cstheme="minorBidi"/>
          <w:b w:val="0"/>
          <w:bCs w:val="0"/>
          <w:kern w:val="2"/>
          <w:sz w:val="32"/>
          <w:szCs w:val="32"/>
          <w:highlight w:val="none"/>
          <w:lang w:val="en-US" w:eastAsia="zh-CN" w:bidi="ar-SA"/>
        </w:rPr>
        <w:t>通过举办海外归国留学人员联谊会、举办归侨侨眷联谊会及双节慰问等活动，充分调动广大归侨侨眷的积极性，凝聚侨心、集聚侨力，为三门峡市经济发展做贡献。时刻关心侨界群众生活，了解和掌握广大归侨侨眷和海外侨胞的愿望和要求，切实为侨界群众排忧解难，特别要关心归侨侨眷中的困难群体，动员各方力量扶贫济困，帮助解决实际困难。</w:t>
      </w:r>
    </w:p>
    <w:p>
      <w:pPr>
        <w:pStyle w:val="4"/>
      </w:pPr>
      <w:bookmarkStart w:id="8" w:name="_Toc79333434"/>
      <w:bookmarkStart w:id="9" w:name="_Toc3207"/>
      <w:r>
        <w:rPr>
          <w:rFonts w:hint="eastAsia"/>
        </w:rPr>
        <w:t>（二）项目支出情况</w:t>
      </w:r>
      <w:bookmarkEnd w:id="7"/>
      <w:bookmarkEnd w:id="8"/>
      <w:bookmarkEnd w:id="9"/>
    </w:p>
    <w:p>
      <w:pPr>
        <w:pStyle w:val="5"/>
        <w:ind w:firstLine="643"/>
      </w:pPr>
      <w:bookmarkStart w:id="10" w:name="_Toc79333435"/>
      <w:bookmarkStart w:id="11" w:name="_Toc28118"/>
      <w:r>
        <w:rPr>
          <w:rFonts w:hint="eastAsia"/>
        </w:rPr>
        <w:t>1、项目预算情况</w:t>
      </w:r>
      <w:bookmarkEnd w:id="10"/>
      <w:bookmarkEnd w:id="11"/>
    </w:p>
    <w:p>
      <w:pPr>
        <w:ind w:firstLine="640"/>
        <w:rPr>
          <w:highlight w:val="none"/>
        </w:rPr>
      </w:pPr>
      <w:r>
        <w:rPr>
          <w:rFonts w:hint="eastAsia"/>
          <w:highlight w:val="none"/>
        </w:rPr>
        <w:t>项目于2</w:t>
      </w:r>
      <w:r>
        <w:rPr>
          <w:highlight w:val="none"/>
        </w:rPr>
        <w:t>02</w:t>
      </w:r>
      <w:r>
        <w:rPr>
          <w:rFonts w:hint="eastAsia"/>
          <w:highlight w:val="none"/>
        </w:rPr>
        <w:t>1年共申请财政资金</w:t>
      </w:r>
      <w:r>
        <w:rPr>
          <w:rFonts w:hint="eastAsia"/>
          <w:highlight w:val="none"/>
          <w:lang w:val="en-US" w:eastAsia="zh-CN"/>
        </w:rPr>
        <w:t>10</w:t>
      </w:r>
      <w:r>
        <w:rPr>
          <w:rFonts w:hint="eastAsia"/>
          <w:highlight w:val="none"/>
        </w:rPr>
        <w:t>万元，当年实际执行</w:t>
      </w:r>
      <w:r>
        <w:rPr>
          <w:rFonts w:hint="eastAsia"/>
          <w:highlight w:val="none"/>
          <w:lang w:val="en-US" w:eastAsia="zh-CN"/>
        </w:rPr>
        <w:t>10</w:t>
      </w:r>
      <w:r>
        <w:rPr>
          <w:rFonts w:hint="eastAsia"/>
          <w:highlight w:val="none"/>
        </w:rPr>
        <w:t>万元。</w:t>
      </w:r>
    </w:p>
    <w:p>
      <w:pPr>
        <w:pStyle w:val="5"/>
        <w:ind w:firstLine="643"/>
        <w:rPr>
          <w:highlight w:val="none"/>
        </w:rPr>
      </w:pPr>
      <w:bookmarkStart w:id="12" w:name="_Toc18098"/>
      <w:bookmarkStart w:id="13" w:name="_Toc79333436"/>
      <w:r>
        <w:rPr>
          <w:rFonts w:hint="eastAsia"/>
          <w:highlight w:val="none"/>
        </w:rPr>
        <w:t>2、项目预算执行情况</w:t>
      </w:r>
      <w:bookmarkEnd w:id="12"/>
      <w:bookmarkEnd w:id="13"/>
    </w:p>
    <w:p>
      <w:pPr>
        <w:ind w:firstLine="640"/>
        <w:jc w:val="left"/>
        <w:rPr>
          <w:highlight w:val="none"/>
        </w:rPr>
      </w:pPr>
      <w:r>
        <w:rPr>
          <w:rFonts w:hint="eastAsia"/>
          <w:highlight w:val="none"/>
        </w:rPr>
        <w:t>项目全年预算财政资金为</w:t>
      </w:r>
      <w:r>
        <w:rPr>
          <w:rFonts w:hint="eastAsia"/>
          <w:highlight w:val="none"/>
          <w:lang w:val="en-US" w:eastAsia="zh-CN"/>
        </w:rPr>
        <w:t>10</w:t>
      </w:r>
      <w:r>
        <w:rPr>
          <w:rFonts w:hint="eastAsia"/>
          <w:highlight w:val="none"/>
        </w:rPr>
        <w:t>万元，实际支出</w:t>
      </w:r>
      <w:r>
        <w:rPr>
          <w:rFonts w:hint="eastAsia"/>
          <w:highlight w:val="none"/>
          <w:lang w:val="en-US" w:eastAsia="zh-CN"/>
        </w:rPr>
        <w:t>10</w:t>
      </w:r>
      <w:r>
        <w:rPr>
          <w:rFonts w:hint="eastAsia"/>
          <w:highlight w:val="none"/>
        </w:rPr>
        <w:t>万元，执行率100%。</w:t>
      </w:r>
    </w:p>
    <w:p>
      <w:pPr>
        <w:pStyle w:val="3"/>
      </w:pPr>
      <w:bookmarkStart w:id="14" w:name="_Toc10420"/>
      <w:bookmarkStart w:id="15" w:name="_Toc79333437"/>
      <w:bookmarkStart w:id="16" w:name="_Toc75871361"/>
      <w:bookmarkStart w:id="17" w:name="_Toc25195"/>
      <w:r>
        <w:rPr>
          <w:rFonts w:hint="eastAsia"/>
        </w:rPr>
        <w:t>二、绩效自评工作开展情况</w:t>
      </w:r>
      <w:bookmarkEnd w:id="14"/>
      <w:bookmarkEnd w:id="15"/>
      <w:bookmarkEnd w:id="16"/>
      <w:bookmarkEnd w:id="17"/>
    </w:p>
    <w:p>
      <w:pPr>
        <w:pStyle w:val="4"/>
      </w:pPr>
      <w:bookmarkStart w:id="18" w:name="_Toc79333438"/>
      <w:bookmarkStart w:id="19" w:name="_Toc75871362"/>
      <w:bookmarkStart w:id="20" w:name="_Toc2358"/>
      <w:r>
        <w:rPr>
          <w:rFonts w:hint="eastAsia"/>
        </w:rPr>
        <w:t>（一）绩效自评价目的和意义</w:t>
      </w:r>
      <w:bookmarkEnd w:id="18"/>
      <w:bookmarkEnd w:id="19"/>
      <w:bookmarkEnd w:id="20"/>
    </w:p>
    <w:p>
      <w:pPr>
        <w:ind w:firstLine="640"/>
      </w:pPr>
      <w:r>
        <w:rPr>
          <w:rFonts w:hint="eastAsia"/>
        </w:rPr>
        <w:t>预算支出绩效自评价是预算单位运用科学、规范的评价方法，对照统一的评价标准，对预算支出的效率和效益进行的自我衡量和综合评价。</w:t>
      </w:r>
    </w:p>
    <w:p>
      <w:pPr>
        <w:ind w:firstLine="640"/>
      </w:pPr>
      <w:r>
        <w:rPr>
          <w:rFonts w:hint="eastAsia"/>
        </w:rPr>
        <w:t>预算支出绩效自评价的目的是：通过对绩效目标的综合考评，合理配置资源，优化支出结构，规范预算资金分配，提高财政资源配置效率和使用效益。</w:t>
      </w:r>
    </w:p>
    <w:p>
      <w:pPr>
        <w:ind w:firstLine="640"/>
      </w:pPr>
      <w:r>
        <w:rPr>
          <w:rFonts w:hint="eastAsia"/>
        </w:rPr>
        <w:t>推进预算支出绩效自评价的意义是：加强部门及项目预算管理，有利于建设高效透明政府，有利于深化政府管理体制改革。从政府部门管理层面来看，可促进预算单位预算管理的科学性和合理性；从财政部门资金监管层面来看，可深入了解资金投向的明确性和准确性，提高资金使用效率；从项目实施单位来看，可以进一步规范资金使用，提升项目实施效果。</w:t>
      </w:r>
    </w:p>
    <w:p>
      <w:pPr>
        <w:pStyle w:val="4"/>
      </w:pPr>
      <w:bookmarkStart w:id="21" w:name="_Toc75871363"/>
      <w:bookmarkStart w:id="22" w:name="_Toc79333439"/>
      <w:bookmarkStart w:id="23" w:name="_Toc3060"/>
      <w:bookmarkStart w:id="24" w:name="_Toc28012"/>
      <w:r>
        <w:rPr>
          <w:rFonts w:hint="eastAsia"/>
        </w:rPr>
        <w:t>（二）绩效自评价对象和范围</w:t>
      </w:r>
      <w:bookmarkEnd w:id="21"/>
      <w:bookmarkEnd w:id="22"/>
      <w:bookmarkEnd w:id="23"/>
      <w:bookmarkEnd w:id="24"/>
    </w:p>
    <w:p>
      <w:pPr>
        <w:ind w:firstLine="640"/>
        <w:rPr>
          <w:highlight w:val="none"/>
        </w:rPr>
      </w:pPr>
      <w:r>
        <w:rPr>
          <w:rFonts w:hint="eastAsia"/>
          <w:highlight w:val="none"/>
        </w:rPr>
        <w:t>本次绩效自评价对象为2</w:t>
      </w:r>
      <w:r>
        <w:rPr>
          <w:highlight w:val="none"/>
        </w:rPr>
        <w:t>02</w:t>
      </w:r>
      <w:r>
        <w:rPr>
          <w:rFonts w:hint="eastAsia"/>
          <w:highlight w:val="none"/>
        </w:rPr>
        <w:t>1年侨务专项经费（侨联）项目专项资金，评价范围为涉及该项目管理及其预算</w:t>
      </w:r>
      <w:r>
        <w:rPr>
          <w:rFonts w:hint="eastAsia"/>
          <w:highlight w:val="none"/>
          <w:lang w:val="en-US" w:eastAsia="zh-CN"/>
        </w:rPr>
        <w:t>10</w:t>
      </w:r>
      <w:r>
        <w:rPr>
          <w:rFonts w:hint="eastAsia"/>
          <w:highlight w:val="none"/>
        </w:rPr>
        <w:t>万元的使用情况。</w:t>
      </w:r>
    </w:p>
    <w:p>
      <w:pPr>
        <w:pStyle w:val="4"/>
      </w:pPr>
      <w:bookmarkStart w:id="25" w:name="_Toc75871364"/>
      <w:bookmarkStart w:id="26" w:name="_Toc79333440"/>
      <w:bookmarkStart w:id="27" w:name="_Toc8160"/>
      <w:bookmarkStart w:id="28" w:name="_Toc30750"/>
      <w:r>
        <w:rPr>
          <w:rFonts w:hint="eastAsia"/>
        </w:rPr>
        <w:t>（三）绩效评价的依据</w:t>
      </w:r>
      <w:bookmarkEnd w:id="25"/>
      <w:bookmarkEnd w:id="26"/>
      <w:bookmarkEnd w:id="27"/>
      <w:bookmarkEnd w:id="28"/>
    </w:p>
    <w:p>
      <w:pPr>
        <w:numPr>
          <w:ilvl w:val="0"/>
          <w:numId w:val="1"/>
        </w:numPr>
        <w:ind w:firstLine="640"/>
      </w:pPr>
      <w:r>
        <w:rPr>
          <w:rFonts w:hint="eastAsia"/>
        </w:rPr>
        <w:t>中共中央、国务院《关于全面实施预算绩效管理的意见》（中发〔2018〕34号）；</w:t>
      </w:r>
    </w:p>
    <w:p>
      <w:pPr>
        <w:numPr>
          <w:ilvl w:val="0"/>
          <w:numId w:val="1"/>
        </w:numPr>
        <w:ind w:firstLine="640"/>
      </w:pPr>
      <w:r>
        <w:rPr>
          <w:rFonts w:hint="eastAsia"/>
        </w:rPr>
        <w:t>《项目支出绩效评价管理办法》（财预〔2020〕10号）；</w:t>
      </w:r>
    </w:p>
    <w:p>
      <w:pPr>
        <w:numPr>
          <w:ilvl w:val="0"/>
          <w:numId w:val="1"/>
        </w:numPr>
        <w:ind w:firstLine="640"/>
      </w:pPr>
      <w:r>
        <w:rPr>
          <w:rFonts w:hint="eastAsia"/>
        </w:rPr>
        <w:t>《预算绩效评价共性指标体系框架》（财预〔2013〕53号）；</w:t>
      </w:r>
    </w:p>
    <w:p>
      <w:pPr>
        <w:numPr>
          <w:ilvl w:val="0"/>
          <w:numId w:val="1"/>
        </w:numPr>
        <w:ind w:firstLine="640"/>
      </w:pPr>
      <w:r>
        <w:rPr>
          <w:rFonts w:hint="eastAsia"/>
        </w:rPr>
        <w:t>《中共河南省委 河南省人民政府关于全面实施预算绩效管理的实施意见》（豫发〔2019〕10号）；</w:t>
      </w:r>
    </w:p>
    <w:p>
      <w:pPr>
        <w:numPr>
          <w:ilvl w:val="0"/>
          <w:numId w:val="1"/>
        </w:numPr>
        <w:ind w:firstLine="640"/>
      </w:pPr>
      <w:r>
        <w:rPr>
          <w:rFonts w:hint="eastAsia"/>
        </w:rPr>
        <w:t>河南省财政厅关于印发《河南省省级预算项目支出绩效评价管理办法》的通知（豫财效〔2020〕10号）；</w:t>
      </w:r>
    </w:p>
    <w:p>
      <w:pPr>
        <w:numPr>
          <w:ilvl w:val="0"/>
          <w:numId w:val="1"/>
        </w:numPr>
        <w:ind w:firstLine="640"/>
      </w:pPr>
      <w:r>
        <w:rPr>
          <w:rFonts w:hint="eastAsia"/>
          <w:lang w:val="en-US" w:eastAsia="zh-CN"/>
        </w:rPr>
        <w:t>中共三门峡市委、三门峡市人民政府《关于全面实施预算绩效管理的意见》（三发〔2020〕14号）；</w:t>
      </w:r>
    </w:p>
    <w:p>
      <w:pPr>
        <w:numPr>
          <w:ilvl w:val="0"/>
          <w:numId w:val="1"/>
        </w:numPr>
        <w:ind w:firstLine="640"/>
      </w:pPr>
      <w:r>
        <w:rPr>
          <w:rFonts w:hint="eastAsia"/>
          <w:lang w:val="en-US" w:eastAsia="zh-CN"/>
        </w:rPr>
        <w:t>《</w:t>
      </w:r>
      <w:r>
        <w:rPr>
          <w:rFonts w:hint="default"/>
          <w:lang w:val="zh-CN" w:eastAsia="zh-CN"/>
        </w:rPr>
        <w:t>三门峡市财政局关于开展2021年度市级预算绩效自评工作的通知</w:t>
      </w:r>
      <w:r>
        <w:rPr>
          <w:rFonts w:hint="eastAsia"/>
          <w:lang w:val="en-US" w:eastAsia="zh-CN"/>
        </w:rPr>
        <w:t>》（</w:t>
      </w:r>
      <w:r>
        <w:rPr>
          <w:rFonts w:hint="default"/>
          <w:lang w:val="zh-CN" w:eastAsia="zh-CN"/>
        </w:rPr>
        <w:t>三财效</w:t>
      </w:r>
      <w:r>
        <w:rPr>
          <w:rFonts w:hint="eastAsia"/>
          <w:lang w:val="en-US" w:eastAsia="zh-CN"/>
        </w:rPr>
        <w:t>〔</w:t>
      </w:r>
      <w:r>
        <w:rPr>
          <w:rFonts w:hint="default"/>
          <w:lang w:val="zh-CN" w:eastAsia="zh-CN"/>
        </w:rPr>
        <w:t>2022</w:t>
      </w:r>
      <w:r>
        <w:rPr>
          <w:rFonts w:hint="eastAsia"/>
          <w:lang w:val="en-US" w:eastAsia="zh-CN"/>
        </w:rPr>
        <w:t>〕</w:t>
      </w:r>
      <w:r>
        <w:rPr>
          <w:rFonts w:hint="default"/>
          <w:lang w:val="zh-CN" w:eastAsia="zh-CN"/>
        </w:rPr>
        <w:t>3号</w:t>
      </w:r>
      <w:r>
        <w:rPr>
          <w:rFonts w:hint="eastAsia"/>
          <w:lang w:val="en-US" w:eastAsia="zh-CN"/>
        </w:rPr>
        <w:t>）；</w:t>
      </w:r>
    </w:p>
    <w:p>
      <w:pPr>
        <w:numPr>
          <w:ilvl w:val="0"/>
          <w:numId w:val="1"/>
        </w:numPr>
        <w:ind w:firstLine="640"/>
      </w:pPr>
      <w:r>
        <w:rPr>
          <w:rFonts w:hint="eastAsia"/>
        </w:rPr>
        <w:t>与本次自评相关的其他资料。</w:t>
      </w:r>
    </w:p>
    <w:p>
      <w:pPr>
        <w:pStyle w:val="4"/>
      </w:pPr>
      <w:bookmarkStart w:id="29" w:name="_Toc17978"/>
      <w:bookmarkStart w:id="30" w:name="_Toc79333441"/>
      <w:bookmarkStart w:id="31" w:name="_Toc13521"/>
      <w:bookmarkStart w:id="32" w:name="_Toc75871365"/>
      <w:r>
        <w:rPr>
          <w:rFonts w:hint="eastAsia"/>
        </w:rPr>
        <w:t>（四）评分方法</w:t>
      </w:r>
      <w:bookmarkEnd w:id="29"/>
      <w:bookmarkEnd w:id="30"/>
      <w:bookmarkEnd w:id="31"/>
      <w:bookmarkEnd w:id="32"/>
    </w:p>
    <w:p>
      <w:pPr>
        <w:ind w:firstLine="640"/>
      </w:pPr>
      <w:bookmarkStart w:id="33" w:name="_Toc27533"/>
      <w:r>
        <w:rPr>
          <w:rFonts w:hint="eastAsia"/>
        </w:rPr>
        <w:t>根据财政部《项目支出绩效评价管理办法》（财预〔2020〕10号）第十六条的相关要求：</w:t>
      </w:r>
    </w:p>
    <w:p>
      <w:pPr>
        <w:ind w:firstLine="640"/>
      </w:pPr>
      <w:r>
        <w:rPr>
          <w:rFonts w:hint="eastAsia"/>
        </w:rPr>
        <w:t>单位自评采用定量与定性评价相结合的比较法，总分由各项指标得分汇总形成。</w:t>
      </w:r>
    </w:p>
    <w:p>
      <w:pPr>
        <w:ind w:firstLine="640"/>
      </w:pPr>
      <w:r>
        <w:rPr>
          <w:rFonts w:hint="eastAsia"/>
        </w:rPr>
        <w:t>定量指标得分按照以下方法评定：与年初指标值相比，完成指标值的，计该指标所赋全部分值；对完成值高于指标值较多的，要分析原因，如果是由于年初指标值设定明显偏低造成的，要按照偏离度适度调减分值；未完成指标值的，按照完成值与指标值的比例计分。</w:t>
      </w:r>
    </w:p>
    <w:p>
      <w:pPr>
        <w:ind w:firstLine="640"/>
      </w:pPr>
      <w:r>
        <w:rPr>
          <w:rFonts w:hint="eastAsia"/>
        </w:rPr>
        <w:t>定性指标得分按照以下方法评定：根据指标完成情况分为达成年度指标、部分达成年度指标并具有一定效果、未达成年度指标且效果较差三档，分别按照该指标对应分值区间100%—80%（含）、80%—60%（含）、60%—0%合理确定分值。</w:t>
      </w:r>
    </w:p>
    <w:p>
      <w:pPr>
        <w:ind w:firstLine="640"/>
      </w:pPr>
      <w:r>
        <w:t>评分表满分为100分，</w:t>
      </w:r>
      <w:r>
        <w:rPr>
          <w:rFonts w:hint="eastAsia"/>
        </w:rPr>
        <w:t>一</w:t>
      </w:r>
      <w:r>
        <w:t>级指标分值统一设置为：预算执行率10分、产出指标50分、效益指标30分、服务对象满意指标10分。各部门可根据指标的重要程度自主确定各项三级指标的权重分值各项指标得分加总得出自评的总分。</w:t>
      </w:r>
    </w:p>
    <w:p>
      <w:pPr>
        <w:ind w:firstLine="640"/>
      </w:pPr>
      <w:r>
        <w:rPr>
          <w:rFonts w:hint="eastAsia"/>
        </w:rPr>
        <w:t>综合各级政府绩效评价相关政策，按照政策相关要求，根据指标的重要程度确定各项三级指标的权重分值。</w:t>
      </w:r>
    </w:p>
    <w:p>
      <w:pPr>
        <w:pStyle w:val="4"/>
      </w:pPr>
      <w:bookmarkStart w:id="34" w:name="_Toc79333442"/>
      <w:bookmarkStart w:id="35" w:name="_Toc30909"/>
      <w:bookmarkStart w:id="36" w:name="_Toc75871366"/>
      <w:r>
        <w:rPr>
          <w:rFonts w:hint="eastAsia"/>
        </w:rPr>
        <w:t>（五）绩效自评工作组织</w:t>
      </w:r>
      <w:bookmarkEnd w:id="33"/>
      <w:bookmarkEnd w:id="34"/>
      <w:bookmarkEnd w:id="35"/>
      <w:bookmarkEnd w:id="36"/>
    </w:p>
    <w:p>
      <w:pPr>
        <w:ind w:firstLine="640"/>
      </w:pPr>
      <w:r>
        <w:rPr>
          <w:rFonts w:hint="eastAsia"/>
        </w:rPr>
        <w:t>我单位依据自评价相关要求，成立项目自评领导小组，下设自评工作组，由工作组根据具体项目指定专人配合进行自评。</w:t>
      </w:r>
    </w:p>
    <w:p>
      <w:pPr>
        <w:ind w:firstLine="640"/>
      </w:pPr>
      <w:r>
        <w:rPr>
          <w:rFonts w:hint="eastAsia"/>
        </w:rPr>
        <w:t>工作组主要工作内容有：</w:t>
      </w:r>
    </w:p>
    <w:p>
      <w:pPr>
        <w:ind w:firstLine="640"/>
      </w:pPr>
      <w:r>
        <w:rPr>
          <w:rFonts w:hint="eastAsia"/>
        </w:rPr>
        <w:t>1、召开自评价专门会议，进行自评价工作的统一部署并组织项目相关成员进行必要的政策法规学习；</w:t>
      </w:r>
    </w:p>
    <w:p>
      <w:pPr>
        <w:ind w:firstLine="640"/>
      </w:pPr>
      <w:r>
        <w:rPr>
          <w:rFonts w:hint="eastAsia"/>
        </w:rPr>
        <w:t>2、组织有效的调查研究、项目座谈、查阅相关资料；</w:t>
      </w:r>
    </w:p>
    <w:p>
      <w:pPr>
        <w:ind w:firstLine="640"/>
      </w:pPr>
      <w:r>
        <w:rPr>
          <w:rFonts w:hint="eastAsia"/>
        </w:rPr>
        <w:t>3、根据获取的资料，依照《项目支出绩效自评表》进行合理打分；</w:t>
      </w:r>
    </w:p>
    <w:p>
      <w:pPr>
        <w:ind w:firstLine="640"/>
      </w:pPr>
      <w:r>
        <w:rPr>
          <w:rFonts w:hint="eastAsia"/>
        </w:rPr>
        <w:t>4、综合上述工作成果，撰写项目自评价报告；</w:t>
      </w:r>
    </w:p>
    <w:p>
      <w:pPr>
        <w:ind w:firstLine="640"/>
      </w:pPr>
      <w:r>
        <w:rPr>
          <w:rFonts w:hint="eastAsia"/>
        </w:rPr>
        <w:t>5、完成项目绩效评价相关政策所要求的其他事项。</w:t>
      </w:r>
    </w:p>
    <w:p>
      <w:pPr>
        <w:pStyle w:val="3"/>
      </w:pPr>
      <w:bookmarkStart w:id="37" w:name="_Toc79333443"/>
      <w:bookmarkStart w:id="38" w:name="_Toc5217"/>
      <w:r>
        <w:rPr>
          <w:rFonts w:hint="eastAsia"/>
        </w:rPr>
        <w:t>三、绩效自评结果及分析</w:t>
      </w:r>
      <w:bookmarkEnd w:id="37"/>
      <w:bookmarkEnd w:id="38"/>
    </w:p>
    <w:p>
      <w:pPr>
        <w:pStyle w:val="4"/>
      </w:pPr>
      <w:bookmarkStart w:id="39" w:name="_Toc4028"/>
      <w:bookmarkStart w:id="40" w:name="_Toc79333444"/>
      <w:bookmarkStart w:id="41" w:name="_Toc19168"/>
      <w:r>
        <w:t>（一）绩效自评价结果</w:t>
      </w:r>
      <w:bookmarkEnd w:id="39"/>
      <w:bookmarkEnd w:id="40"/>
      <w:bookmarkEnd w:id="41"/>
    </w:p>
    <w:p>
      <w:pPr>
        <w:ind w:firstLine="640"/>
      </w:pPr>
      <w:r>
        <w:rPr>
          <w:rFonts w:hint="eastAsia"/>
        </w:rPr>
        <w:t>根据自评相关规定，绩效评价结果实行百分制和四级分类，分别是：90-100分为优、80-89分为良、60-79分为中、0-59分为差。</w:t>
      </w:r>
    </w:p>
    <w:p>
      <w:pPr>
        <w:ind w:firstLine="640"/>
        <w:rPr>
          <w:highlight w:val="none"/>
        </w:rPr>
      </w:pPr>
      <w:r>
        <w:rPr>
          <w:rFonts w:hint="eastAsia"/>
        </w:rPr>
        <w:t>我单位通过对本项目调查</w:t>
      </w:r>
      <w:r>
        <w:rPr>
          <w:rFonts w:hint="eastAsia"/>
          <w:highlight w:val="none"/>
        </w:rPr>
        <w:t>研究、座谈、查阅相关资料，根据相关政策要求进行打分，最终项目自评价得分为</w:t>
      </w:r>
      <w:r>
        <w:rPr>
          <w:rFonts w:hint="eastAsia"/>
          <w:highlight w:val="none"/>
          <w:lang w:val="en-US" w:eastAsia="zh-CN"/>
        </w:rPr>
        <w:t>96</w:t>
      </w:r>
      <w:r>
        <w:rPr>
          <w:rFonts w:hint="eastAsia"/>
          <w:highlight w:val="none"/>
        </w:rPr>
        <w:t>分，评价结果为“</w:t>
      </w:r>
      <w:r>
        <w:rPr>
          <w:rFonts w:hint="eastAsia"/>
          <w:highlight w:val="none"/>
          <w:lang w:val="en-US" w:eastAsia="zh-CN"/>
        </w:rPr>
        <w:t>优</w:t>
      </w:r>
      <w:r>
        <w:rPr>
          <w:rFonts w:hint="eastAsia"/>
          <w:highlight w:val="none"/>
        </w:rPr>
        <w:t>”。各项指标具体得分情况如下表</w:t>
      </w:r>
      <w:r>
        <w:rPr>
          <w:highlight w:val="none"/>
        </w:rPr>
        <w:t>3</w:t>
      </w:r>
      <w:r>
        <w:rPr>
          <w:rFonts w:hint="eastAsia"/>
          <w:highlight w:val="none"/>
        </w:rPr>
        <w:t>.1所示</w:t>
      </w:r>
    </w:p>
    <w:p>
      <w:pPr>
        <w:pStyle w:val="19"/>
        <w:ind w:firstLine="643"/>
        <w:rPr>
          <w:highlight w:val="none"/>
        </w:rPr>
      </w:pPr>
      <w:r>
        <w:rPr>
          <w:rFonts w:hint="eastAsia"/>
          <w:highlight w:val="none"/>
        </w:rPr>
        <w:t>表3.1 绩效自评价得分表</w:t>
      </w:r>
    </w:p>
    <w:tbl>
      <w:tblPr>
        <w:tblStyle w:val="13"/>
        <w:tblW w:w="4954" w:type="pct"/>
        <w:jc w:val="center"/>
        <w:tblLayout w:type="fixed"/>
        <w:tblCellMar>
          <w:top w:w="0" w:type="dxa"/>
          <w:left w:w="108" w:type="dxa"/>
          <w:bottom w:w="0" w:type="dxa"/>
          <w:right w:w="108" w:type="dxa"/>
        </w:tblCellMar>
      </w:tblPr>
      <w:tblGrid>
        <w:gridCol w:w="1305"/>
        <w:gridCol w:w="1603"/>
        <w:gridCol w:w="2724"/>
        <w:gridCol w:w="1439"/>
        <w:gridCol w:w="1373"/>
      </w:tblGrid>
      <w:tr>
        <w:tblPrEx>
          <w:tblCellMar>
            <w:top w:w="0" w:type="dxa"/>
            <w:left w:w="108" w:type="dxa"/>
            <w:bottom w:w="0" w:type="dxa"/>
            <w:right w:w="108" w:type="dxa"/>
          </w:tblCellMar>
        </w:tblPrEx>
        <w:trPr>
          <w:trHeight w:val="567" w:hRule="atLeast"/>
          <w:tblHeader/>
          <w:jc w:val="center"/>
        </w:trPr>
        <w:tc>
          <w:tcPr>
            <w:tcW w:w="772" w:type="pct"/>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pPr>
              <w:pStyle w:val="17"/>
              <w:rPr>
                <w:highlight w:val="none"/>
              </w:rPr>
            </w:pPr>
            <w:r>
              <w:rPr>
                <w:rFonts w:hint="eastAsia"/>
                <w:highlight w:val="none"/>
              </w:rPr>
              <w:t>一级指标</w:t>
            </w:r>
          </w:p>
        </w:tc>
        <w:tc>
          <w:tcPr>
            <w:tcW w:w="949" w:type="pct"/>
            <w:tcBorders>
              <w:top w:val="single" w:color="auto" w:sz="4" w:space="0"/>
              <w:left w:val="nil"/>
              <w:bottom w:val="single" w:color="auto" w:sz="4" w:space="0"/>
              <w:right w:val="single" w:color="auto" w:sz="4" w:space="0"/>
            </w:tcBorders>
            <w:shd w:val="clear" w:color="auto" w:fill="D7D7D7" w:themeFill="background1" w:themeFillShade="D8"/>
            <w:vAlign w:val="center"/>
          </w:tcPr>
          <w:p>
            <w:pPr>
              <w:pStyle w:val="17"/>
              <w:rPr>
                <w:highlight w:val="none"/>
              </w:rPr>
            </w:pPr>
            <w:r>
              <w:rPr>
                <w:rFonts w:hint="eastAsia"/>
                <w:highlight w:val="none"/>
              </w:rPr>
              <w:t>二级指标</w:t>
            </w:r>
          </w:p>
        </w:tc>
        <w:tc>
          <w:tcPr>
            <w:tcW w:w="1612" w:type="pct"/>
            <w:tcBorders>
              <w:top w:val="single" w:color="auto" w:sz="4" w:space="0"/>
              <w:left w:val="nil"/>
              <w:bottom w:val="single" w:color="auto" w:sz="4" w:space="0"/>
              <w:right w:val="single" w:color="auto" w:sz="4" w:space="0"/>
            </w:tcBorders>
            <w:shd w:val="clear" w:color="auto" w:fill="D7D7D7" w:themeFill="background1" w:themeFillShade="D8"/>
            <w:vAlign w:val="center"/>
          </w:tcPr>
          <w:p>
            <w:pPr>
              <w:pStyle w:val="17"/>
              <w:rPr>
                <w:highlight w:val="none"/>
              </w:rPr>
            </w:pPr>
            <w:r>
              <w:rPr>
                <w:rFonts w:hint="eastAsia"/>
                <w:highlight w:val="none"/>
              </w:rPr>
              <w:t>三级指标</w:t>
            </w:r>
          </w:p>
        </w:tc>
        <w:tc>
          <w:tcPr>
            <w:tcW w:w="852" w:type="pct"/>
            <w:tcBorders>
              <w:top w:val="single" w:color="auto" w:sz="4" w:space="0"/>
              <w:left w:val="nil"/>
              <w:bottom w:val="single" w:color="auto" w:sz="4" w:space="0"/>
              <w:right w:val="single" w:color="auto" w:sz="4" w:space="0"/>
            </w:tcBorders>
            <w:shd w:val="clear" w:color="auto" w:fill="D7D7D7" w:themeFill="background1" w:themeFillShade="D8"/>
            <w:vAlign w:val="center"/>
          </w:tcPr>
          <w:p>
            <w:pPr>
              <w:pStyle w:val="17"/>
              <w:rPr>
                <w:highlight w:val="none"/>
              </w:rPr>
            </w:pPr>
            <w:r>
              <w:rPr>
                <w:rFonts w:hint="eastAsia"/>
                <w:highlight w:val="none"/>
              </w:rPr>
              <w:t>标准分值</w:t>
            </w:r>
          </w:p>
        </w:tc>
        <w:tc>
          <w:tcPr>
            <w:tcW w:w="813" w:type="pct"/>
            <w:tcBorders>
              <w:top w:val="single" w:color="auto" w:sz="4" w:space="0"/>
              <w:left w:val="nil"/>
              <w:bottom w:val="single" w:color="auto" w:sz="4" w:space="0"/>
              <w:right w:val="single" w:color="auto" w:sz="4" w:space="0"/>
            </w:tcBorders>
            <w:shd w:val="clear" w:color="auto" w:fill="D7D7D7" w:themeFill="background1" w:themeFillShade="D8"/>
            <w:vAlign w:val="center"/>
          </w:tcPr>
          <w:p>
            <w:pPr>
              <w:pStyle w:val="17"/>
              <w:rPr>
                <w:highlight w:val="none"/>
              </w:rPr>
            </w:pPr>
            <w:r>
              <w:rPr>
                <w:rFonts w:hint="eastAsia"/>
                <w:highlight w:val="none"/>
              </w:rPr>
              <w:t>实际得分</w:t>
            </w:r>
          </w:p>
        </w:tc>
      </w:tr>
      <w:tr>
        <w:tblPrEx>
          <w:tblCellMar>
            <w:top w:w="0" w:type="dxa"/>
            <w:left w:w="108" w:type="dxa"/>
            <w:bottom w:w="0" w:type="dxa"/>
            <w:right w:w="108" w:type="dxa"/>
          </w:tblCellMar>
        </w:tblPrEx>
        <w:trPr>
          <w:trHeight w:val="567" w:hRule="atLeast"/>
          <w:jc w:val="center"/>
        </w:trPr>
        <w:tc>
          <w:tcPr>
            <w:tcW w:w="77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7"/>
              <w:rPr>
                <w:highlight w:val="none"/>
              </w:rPr>
            </w:pPr>
            <w:r>
              <w:rPr>
                <w:rFonts w:hint="eastAsia"/>
                <w:highlight w:val="none"/>
              </w:rPr>
              <w:t>预算执行</w:t>
            </w:r>
          </w:p>
        </w:tc>
        <w:tc>
          <w:tcPr>
            <w:tcW w:w="949" w:type="pct"/>
            <w:tcBorders>
              <w:top w:val="single" w:color="auto" w:sz="4" w:space="0"/>
              <w:left w:val="nil"/>
              <w:bottom w:val="single" w:color="auto" w:sz="4" w:space="0"/>
              <w:right w:val="single" w:color="auto" w:sz="4" w:space="0"/>
            </w:tcBorders>
            <w:shd w:val="clear" w:color="auto" w:fill="auto"/>
            <w:vAlign w:val="center"/>
          </w:tcPr>
          <w:p>
            <w:pPr>
              <w:pStyle w:val="17"/>
              <w:rPr>
                <w:highlight w:val="none"/>
              </w:rPr>
            </w:pPr>
            <w:r>
              <w:rPr>
                <w:rFonts w:hint="eastAsia"/>
                <w:highlight w:val="none"/>
              </w:rPr>
              <w:t>预算执行率</w:t>
            </w:r>
          </w:p>
        </w:tc>
        <w:tc>
          <w:tcPr>
            <w:tcW w:w="1612" w:type="pct"/>
            <w:tcBorders>
              <w:top w:val="single" w:color="auto" w:sz="4" w:space="0"/>
              <w:left w:val="nil"/>
              <w:bottom w:val="single" w:color="auto" w:sz="4" w:space="0"/>
              <w:right w:val="single" w:color="auto" w:sz="4" w:space="0"/>
            </w:tcBorders>
            <w:shd w:val="clear" w:color="auto" w:fill="auto"/>
            <w:vAlign w:val="center"/>
          </w:tcPr>
          <w:p>
            <w:pPr>
              <w:pStyle w:val="17"/>
              <w:rPr>
                <w:highlight w:val="none"/>
              </w:rPr>
            </w:pPr>
            <w:r>
              <w:rPr>
                <w:rFonts w:hint="eastAsia"/>
                <w:highlight w:val="none"/>
              </w:rPr>
              <w:t>预算执行率</w:t>
            </w:r>
          </w:p>
        </w:tc>
        <w:tc>
          <w:tcPr>
            <w:tcW w:w="852" w:type="pct"/>
            <w:tcBorders>
              <w:top w:val="single" w:color="auto" w:sz="4" w:space="0"/>
              <w:left w:val="nil"/>
              <w:bottom w:val="single" w:color="auto" w:sz="4" w:space="0"/>
              <w:right w:val="single" w:color="auto" w:sz="4" w:space="0"/>
            </w:tcBorders>
            <w:shd w:val="clear" w:color="auto" w:fill="auto"/>
            <w:vAlign w:val="center"/>
          </w:tcPr>
          <w:p>
            <w:pPr>
              <w:pStyle w:val="17"/>
              <w:rPr>
                <w:rFonts w:hint="default" w:eastAsia="仿宋"/>
                <w:highlight w:val="none"/>
                <w:lang w:val="en-US" w:eastAsia="zh-CN"/>
              </w:rPr>
            </w:pPr>
            <w:r>
              <w:rPr>
                <w:rFonts w:hint="eastAsia"/>
                <w:highlight w:val="none"/>
                <w:lang w:val="en-US" w:eastAsia="zh-CN"/>
              </w:rPr>
              <w:t>10</w:t>
            </w:r>
          </w:p>
        </w:tc>
        <w:tc>
          <w:tcPr>
            <w:tcW w:w="813" w:type="pct"/>
            <w:tcBorders>
              <w:top w:val="single" w:color="auto" w:sz="4" w:space="0"/>
              <w:left w:val="nil"/>
              <w:bottom w:val="single" w:color="auto" w:sz="4" w:space="0"/>
              <w:right w:val="single" w:color="auto" w:sz="4" w:space="0"/>
            </w:tcBorders>
            <w:shd w:val="clear" w:color="auto" w:fill="auto"/>
            <w:vAlign w:val="center"/>
          </w:tcPr>
          <w:p>
            <w:pPr>
              <w:pStyle w:val="17"/>
              <w:rPr>
                <w:rFonts w:hint="default" w:eastAsia="仿宋"/>
                <w:highlight w:val="none"/>
                <w:lang w:val="en-US" w:eastAsia="zh-CN"/>
              </w:rPr>
            </w:pPr>
            <w:r>
              <w:rPr>
                <w:rFonts w:hint="eastAsia"/>
                <w:highlight w:val="none"/>
                <w:lang w:val="en-US" w:eastAsia="zh-CN"/>
              </w:rPr>
              <w:t>10</w:t>
            </w:r>
          </w:p>
        </w:tc>
      </w:tr>
      <w:tr>
        <w:tblPrEx>
          <w:tblCellMar>
            <w:top w:w="0" w:type="dxa"/>
            <w:left w:w="108" w:type="dxa"/>
            <w:bottom w:w="0" w:type="dxa"/>
            <w:right w:w="108" w:type="dxa"/>
          </w:tblCellMar>
        </w:tblPrEx>
        <w:trPr>
          <w:trHeight w:val="567" w:hRule="atLeast"/>
          <w:jc w:val="center"/>
        </w:trPr>
        <w:tc>
          <w:tcPr>
            <w:tcW w:w="772" w:type="pct"/>
            <w:vMerge w:val="restart"/>
            <w:tcBorders>
              <w:left w:val="single" w:color="auto" w:sz="4" w:space="0"/>
              <w:right w:val="single" w:color="auto" w:sz="4" w:space="0"/>
            </w:tcBorders>
            <w:vAlign w:val="center"/>
          </w:tcPr>
          <w:p>
            <w:pPr>
              <w:pStyle w:val="17"/>
              <w:rPr>
                <w:rFonts w:hint="eastAsia" w:eastAsia="仿宋"/>
                <w:highlight w:val="none"/>
                <w:lang w:val="en-US" w:eastAsia="zh-CN"/>
              </w:rPr>
            </w:pPr>
            <w:r>
              <w:rPr>
                <w:rFonts w:hint="eastAsia"/>
                <w:highlight w:val="none"/>
                <w:lang w:val="en-US" w:eastAsia="zh-CN"/>
              </w:rPr>
              <w:t>产出指标</w:t>
            </w:r>
          </w:p>
        </w:tc>
        <w:tc>
          <w:tcPr>
            <w:tcW w:w="949" w:type="pct"/>
            <w:vMerge w:val="restart"/>
            <w:tcBorders>
              <w:top w:val="single" w:color="auto" w:sz="4" w:space="0"/>
              <w:left w:val="single" w:color="auto" w:sz="4" w:space="0"/>
              <w:right w:val="single" w:color="auto" w:sz="4" w:space="0"/>
            </w:tcBorders>
            <w:vAlign w:val="center"/>
          </w:tcPr>
          <w:p>
            <w:pPr>
              <w:pStyle w:val="17"/>
              <w:rPr>
                <w:rFonts w:hint="eastAsia" w:eastAsia="仿宋"/>
                <w:highlight w:val="none"/>
                <w:lang w:val="en-US" w:eastAsia="zh-CN"/>
              </w:rPr>
            </w:pPr>
            <w:r>
              <w:rPr>
                <w:rFonts w:hint="eastAsia"/>
                <w:highlight w:val="none"/>
                <w:lang w:val="en-US" w:eastAsia="zh-CN"/>
              </w:rPr>
              <w:t>数量指标</w:t>
            </w:r>
          </w:p>
        </w:tc>
        <w:tc>
          <w:tcPr>
            <w:tcW w:w="1612" w:type="pct"/>
            <w:tcBorders>
              <w:top w:val="single" w:color="auto" w:sz="4" w:space="0"/>
              <w:left w:val="nil"/>
              <w:bottom w:val="single" w:color="auto" w:sz="4" w:space="0"/>
              <w:right w:val="single" w:color="auto" w:sz="4" w:space="0"/>
            </w:tcBorders>
            <w:shd w:val="clear" w:color="auto" w:fill="auto"/>
            <w:vAlign w:val="center"/>
          </w:tcPr>
          <w:p>
            <w:pPr>
              <w:pStyle w:val="17"/>
              <w:rPr>
                <w:rFonts w:hint="eastAsia" w:ascii="Times New Roman" w:hAnsi="Times New Roman"/>
                <w:highlight w:val="none"/>
                <w:lang w:val="en-US" w:eastAsia="zh-CN"/>
              </w:rPr>
            </w:pPr>
            <w:r>
              <w:rPr>
                <w:rFonts w:hint="eastAsia" w:ascii="Times New Roman" w:hAnsi="Times New Roman"/>
                <w:highlight w:val="none"/>
                <w:lang w:val="en-US" w:eastAsia="zh-CN"/>
              </w:rPr>
              <w:t>举办联谊会次数</w:t>
            </w:r>
          </w:p>
        </w:tc>
        <w:tc>
          <w:tcPr>
            <w:tcW w:w="1439" w:type="dxa"/>
            <w:tcBorders>
              <w:top w:val="single" w:color="auto" w:sz="4" w:space="0"/>
              <w:left w:val="single" w:color="000000" w:sz="4" w:space="0"/>
              <w:bottom w:val="single" w:color="000000" w:sz="4" w:space="0"/>
              <w:right w:val="single" w:color="000000" w:sz="4" w:space="0"/>
            </w:tcBorders>
            <w:shd w:val="clear" w:color="auto" w:fill="auto"/>
            <w:vAlign w:val="center"/>
          </w:tcPr>
          <w:p>
            <w:pPr>
              <w:pStyle w:val="17"/>
              <w:rPr>
                <w:rFonts w:hint="default" w:ascii="Times New Roman" w:hAnsi="Times New Roman"/>
                <w:highlight w:val="none"/>
                <w:lang w:val="en-US" w:eastAsia="zh-CN"/>
              </w:rPr>
            </w:pPr>
            <w:r>
              <w:rPr>
                <w:rFonts w:hint="eastAsia" w:ascii="Times New Roman" w:hAnsi="Times New Roman"/>
                <w:highlight w:val="none"/>
                <w:lang w:val="en-US" w:eastAsia="zh-CN"/>
              </w:rPr>
              <w:t>5</w:t>
            </w:r>
          </w:p>
        </w:tc>
        <w:tc>
          <w:tcPr>
            <w:tcW w:w="1373" w:type="dxa"/>
            <w:tcBorders>
              <w:top w:val="single" w:color="auto" w:sz="4" w:space="0"/>
              <w:left w:val="single" w:color="000000" w:sz="4" w:space="0"/>
              <w:bottom w:val="single" w:color="000000" w:sz="4" w:space="0"/>
              <w:right w:val="single" w:color="000000" w:sz="4" w:space="0"/>
            </w:tcBorders>
            <w:shd w:val="clear" w:color="auto" w:fill="auto"/>
            <w:vAlign w:val="center"/>
          </w:tcPr>
          <w:p>
            <w:pPr>
              <w:pStyle w:val="17"/>
              <w:rPr>
                <w:rFonts w:hint="default" w:ascii="Times New Roman" w:hAnsi="Times New Roman"/>
                <w:highlight w:val="none"/>
                <w:lang w:val="en-US" w:eastAsia="zh-CN"/>
              </w:rPr>
            </w:pPr>
            <w:r>
              <w:rPr>
                <w:rFonts w:hint="eastAsia" w:ascii="Times New Roman" w:hAnsi="Times New Roman"/>
                <w:highlight w:val="none"/>
                <w:lang w:val="en-US" w:eastAsia="zh-CN"/>
              </w:rPr>
              <w:t>5</w:t>
            </w:r>
          </w:p>
        </w:tc>
      </w:tr>
      <w:tr>
        <w:tblPrEx>
          <w:tblCellMar>
            <w:top w:w="0" w:type="dxa"/>
            <w:left w:w="108" w:type="dxa"/>
            <w:bottom w:w="0" w:type="dxa"/>
            <w:right w:w="108" w:type="dxa"/>
          </w:tblCellMar>
        </w:tblPrEx>
        <w:trPr>
          <w:trHeight w:val="567" w:hRule="atLeast"/>
          <w:jc w:val="center"/>
        </w:trPr>
        <w:tc>
          <w:tcPr>
            <w:tcW w:w="772" w:type="pct"/>
            <w:vMerge w:val="continue"/>
            <w:tcBorders>
              <w:left w:val="single" w:color="auto" w:sz="4" w:space="0"/>
              <w:right w:val="single" w:color="auto" w:sz="4" w:space="0"/>
            </w:tcBorders>
            <w:vAlign w:val="center"/>
          </w:tcPr>
          <w:p>
            <w:pPr>
              <w:pStyle w:val="17"/>
              <w:rPr>
                <w:rFonts w:hint="eastAsia"/>
                <w:highlight w:val="none"/>
                <w:lang w:val="en-US" w:eastAsia="zh-CN"/>
              </w:rPr>
            </w:pPr>
          </w:p>
        </w:tc>
        <w:tc>
          <w:tcPr>
            <w:tcW w:w="949" w:type="pct"/>
            <w:vMerge w:val="continue"/>
            <w:tcBorders>
              <w:left w:val="single" w:color="auto" w:sz="4" w:space="0"/>
              <w:right w:val="single" w:color="auto" w:sz="4" w:space="0"/>
            </w:tcBorders>
            <w:vAlign w:val="center"/>
          </w:tcPr>
          <w:p>
            <w:pPr>
              <w:pStyle w:val="17"/>
              <w:rPr>
                <w:rFonts w:hint="eastAsia"/>
                <w:highlight w:val="none"/>
              </w:rPr>
            </w:pPr>
          </w:p>
        </w:tc>
        <w:tc>
          <w:tcPr>
            <w:tcW w:w="1612" w:type="pct"/>
            <w:tcBorders>
              <w:top w:val="single" w:color="auto" w:sz="4" w:space="0"/>
              <w:left w:val="nil"/>
              <w:bottom w:val="single" w:color="auto" w:sz="4" w:space="0"/>
              <w:right w:val="single" w:color="auto" w:sz="4" w:space="0"/>
            </w:tcBorders>
            <w:shd w:val="clear" w:color="auto" w:fill="auto"/>
            <w:vAlign w:val="center"/>
          </w:tcPr>
          <w:p>
            <w:pPr>
              <w:pStyle w:val="17"/>
              <w:rPr>
                <w:rFonts w:hint="eastAsia" w:ascii="Times New Roman" w:hAnsi="Times New Roman"/>
                <w:highlight w:val="none"/>
                <w:lang w:val="en-US" w:eastAsia="zh-CN"/>
              </w:rPr>
            </w:pPr>
            <w:r>
              <w:rPr>
                <w:rFonts w:hint="eastAsia" w:ascii="Times New Roman" w:hAnsi="Times New Roman"/>
                <w:highlight w:val="none"/>
                <w:lang w:val="en-US" w:eastAsia="zh-CN"/>
              </w:rPr>
              <w:t>慰问次数</w:t>
            </w:r>
          </w:p>
        </w:tc>
        <w:tc>
          <w:tcPr>
            <w:tcW w:w="1439" w:type="dxa"/>
            <w:tcBorders>
              <w:top w:val="single" w:color="auto" w:sz="4" w:space="0"/>
              <w:left w:val="single" w:color="000000" w:sz="4" w:space="0"/>
              <w:bottom w:val="single" w:color="000000" w:sz="4" w:space="0"/>
              <w:right w:val="single" w:color="000000" w:sz="4" w:space="0"/>
            </w:tcBorders>
            <w:shd w:val="clear" w:color="auto" w:fill="auto"/>
            <w:vAlign w:val="center"/>
          </w:tcPr>
          <w:p>
            <w:pPr>
              <w:pStyle w:val="17"/>
              <w:rPr>
                <w:rFonts w:hint="eastAsia" w:ascii="Times New Roman" w:hAnsi="Times New Roman"/>
                <w:highlight w:val="none"/>
                <w:lang w:val="en-US" w:eastAsia="zh-CN"/>
              </w:rPr>
            </w:pPr>
            <w:r>
              <w:rPr>
                <w:rFonts w:hint="eastAsia" w:ascii="Times New Roman" w:hAnsi="Times New Roman"/>
                <w:highlight w:val="none"/>
                <w:lang w:val="en-US" w:eastAsia="zh-CN"/>
              </w:rPr>
              <w:t>5</w:t>
            </w:r>
          </w:p>
        </w:tc>
        <w:tc>
          <w:tcPr>
            <w:tcW w:w="1373" w:type="dxa"/>
            <w:tcBorders>
              <w:top w:val="single" w:color="auto" w:sz="4" w:space="0"/>
              <w:left w:val="single" w:color="000000" w:sz="4" w:space="0"/>
              <w:bottom w:val="single" w:color="000000" w:sz="4" w:space="0"/>
              <w:right w:val="single" w:color="000000" w:sz="4" w:space="0"/>
            </w:tcBorders>
            <w:shd w:val="clear" w:color="auto" w:fill="auto"/>
            <w:vAlign w:val="center"/>
          </w:tcPr>
          <w:p>
            <w:pPr>
              <w:pStyle w:val="17"/>
              <w:rPr>
                <w:rFonts w:hint="eastAsia" w:ascii="Times New Roman" w:hAnsi="Times New Roman"/>
                <w:highlight w:val="none"/>
                <w:lang w:val="en-US" w:eastAsia="zh-CN"/>
              </w:rPr>
            </w:pPr>
            <w:r>
              <w:rPr>
                <w:rFonts w:hint="eastAsia" w:ascii="Times New Roman" w:hAnsi="Times New Roman"/>
                <w:highlight w:val="none"/>
                <w:lang w:val="en-US" w:eastAsia="zh-CN"/>
              </w:rPr>
              <w:t>5</w:t>
            </w:r>
          </w:p>
        </w:tc>
      </w:tr>
      <w:tr>
        <w:tblPrEx>
          <w:tblCellMar>
            <w:top w:w="0" w:type="dxa"/>
            <w:left w:w="108" w:type="dxa"/>
            <w:bottom w:w="0" w:type="dxa"/>
            <w:right w:w="108" w:type="dxa"/>
          </w:tblCellMar>
        </w:tblPrEx>
        <w:trPr>
          <w:trHeight w:val="567" w:hRule="atLeast"/>
          <w:jc w:val="center"/>
        </w:trPr>
        <w:tc>
          <w:tcPr>
            <w:tcW w:w="772" w:type="pct"/>
            <w:vMerge w:val="continue"/>
            <w:tcBorders>
              <w:left w:val="single" w:color="auto" w:sz="4" w:space="0"/>
              <w:right w:val="single" w:color="auto" w:sz="4" w:space="0"/>
            </w:tcBorders>
            <w:vAlign w:val="center"/>
          </w:tcPr>
          <w:p>
            <w:pPr>
              <w:pStyle w:val="17"/>
              <w:rPr>
                <w:rFonts w:hint="eastAsia"/>
                <w:highlight w:val="none"/>
                <w:lang w:val="en-US" w:eastAsia="zh-CN"/>
              </w:rPr>
            </w:pPr>
          </w:p>
        </w:tc>
        <w:tc>
          <w:tcPr>
            <w:tcW w:w="949" w:type="pct"/>
            <w:vMerge w:val="continue"/>
            <w:tcBorders>
              <w:left w:val="single" w:color="auto" w:sz="4" w:space="0"/>
              <w:right w:val="single" w:color="auto" w:sz="4" w:space="0"/>
            </w:tcBorders>
            <w:vAlign w:val="center"/>
          </w:tcPr>
          <w:p>
            <w:pPr>
              <w:pStyle w:val="17"/>
              <w:rPr>
                <w:rFonts w:hint="eastAsia"/>
                <w:highlight w:val="none"/>
              </w:rPr>
            </w:pPr>
          </w:p>
        </w:tc>
        <w:tc>
          <w:tcPr>
            <w:tcW w:w="1612" w:type="pct"/>
            <w:tcBorders>
              <w:top w:val="single" w:color="auto" w:sz="4" w:space="0"/>
              <w:left w:val="nil"/>
              <w:bottom w:val="single" w:color="auto" w:sz="4" w:space="0"/>
              <w:right w:val="single" w:color="auto" w:sz="4" w:space="0"/>
            </w:tcBorders>
            <w:shd w:val="clear" w:color="auto" w:fill="auto"/>
            <w:vAlign w:val="center"/>
          </w:tcPr>
          <w:p>
            <w:pPr>
              <w:pStyle w:val="17"/>
              <w:rPr>
                <w:rFonts w:hint="eastAsia" w:ascii="Times New Roman" w:hAnsi="Times New Roman"/>
                <w:highlight w:val="none"/>
                <w:lang w:val="en-US" w:eastAsia="zh-CN"/>
              </w:rPr>
            </w:pPr>
            <w:r>
              <w:rPr>
                <w:rFonts w:hint="eastAsia" w:ascii="Times New Roman" w:hAnsi="Times New Roman"/>
                <w:highlight w:val="none"/>
                <w:lang w:val="en-US" w:eastAsia="zh-CN"/>
              </w:rPr>
              <w:t>慰问人数</w:t>
            </w:r>
          </w:p>
        </w:tc>
        <w:tc>
          <w:tcPr>
            <w:tcW w:w="1439" w:type="dxa"/>
            <w:tcBorders>
              <w:top w:val="single" w:color="auto" w:sz="4" w:space="0"/>
              <w:left w:val="single" w:color="000000" w:sz="4" w:space="0"/>
              <w:bottom w:val="single" w:color="000000" w:sz="4" w:space="0"/>
              <w:right w:val="single" w:color="000000" w:sz="4" w:space="0"/>
            </w:tcBorders>
            <w:shd w:val="clear" w:color="auto" w:fill="auto"/>
            <w:vAlign w:val="center"/>
          </w:tcPr>
          <w:p>
            <w:pPr>
              <w:pStyle w:val="17"/>
              <w:rPr>
                <w:rFonts w:hint="eastAsia" w:ascii="Times New Roman" w:hAnsi="Times New Roman"/>
                <w:highlight w:val="none"/>
                <w:lang w:val="en-US" w:eastAsia="zh-CN"/>
              </w:rPr>
            </w:pPr>
            <w:r>
              <w:rPr>
                <w:rFonts w:hint="eastAsia" w:ascii="Times New Roman" w:hAnsi="Times New Roman"/>
                <w:highlight w:val="none"/>
                <w:lang w:val="en-US" w:eastAsia="zh-CN"/>
              </w:rPr>
              <w:t>5</w:t>
            </w:r>
          </w:p>
        </w:tc>
        <w:tc>
          <w:tcPr>
            <w:tcW w:w="1373" w:type="dxa"/>
            <w:tcBorders>
              <w:top w:val="single" w:color="auto" w:sz="4" w:space="0"/>
              <w:left w:val="single" w:color="000000" w:sz="4" w:space="0"/>
              <w:bottom w:val="single" w:color="000000" w:sz="4" w:space="0"/>
              <w:right w:val="single" w:color="000000" w:sz="4" w:space="0"/>
            </w:tcBorders>
            <w:shd w:val="clear" w:color="auto" w:fill="auto"/>
            <w:vAlign w:val="center"/>
          </w:tcPr>
          <w:p>
            <w:pPr>
              <w:pStyle w:val="17"/>
              <w:rPr>
                <w:rFonts w:hint="eastAsia" w:ascii="Times New Roman" w:hAnsi="Times New Roman"/>
                <w:highlight w:val="none"/>
                <w:lang w:val="en-US" w:eastAsia="zh-CN"/>
              </w:rPr>
            </w:pPr>
            <w:r>
              <w:rPr>
                <w:rFonts w:hint="eastAsia" w:ascii="Times New Roman" w:hAnsi="Times New Roman"/>
                <w:highlight w:val="none"/>
                <w:lang w:val="en-US" w:eastAsia="zh-CN"/>
              </w:rPr>
              <w:t>5</w:t>
            </w:r>
          </w:p>
        </w:tc>
      </w:tr>
      <w:tr>
        <w:tblPrEx>
          <w:tblCellMar>
            <w:top w:w="0" w:type="dxa"/>
            <w:left w:w="108" w:type="dxa"/>
            <w:bottom w:w="0" w:type="dxa"/>
            <w:right w:w="108" w:type="dxa"/>
          </w:tblCellMar>
        </w:tblPrEx>
        <w:trPr>
          <w:trHeight w:val="567" w:hRule="atLeast"/>
          <w:jc w:val="center"/>
        </w:trPr>
        <w:tc>
          <w:tcPr>
            <w:tcW w:w="772" w:type="pct"/>
            <w:vMerge w:val="continue"/>
            <w:tcBorders>
              <w:left w:val="single" w:color="auto" w:sz="4" w:space="0"/>
              <w:right w:val="single" w:color="auto" w:sz="4" w:space="0"/>
            </w:tcBorders>
            <w:vAlign w:val="center"/>
          </w:tcPr>
          <w:p>
            <w:pPr>
              <w:pStyle w:val="17"/>
              <w:rPr>
                <w:rFonts w:hint="eastAsia"/>
                <w:highlight w:val="none"/>
                <w:lang w:val="en-US" w:eastAsia="zh-CN"/>
              </w:rPr>
            </w:pPr>
          </w:p>
        </w:tc>
        <w:tc>
          <w:tcPr>
            <w:tcW w:w="949" w:type="pct"/>
            <w:vMerge w:val="continue"/>
            <w:tcBorders>
              <w:left w:val="single" w:color="auto" w:sz="4" w:space="0"/>
              <w:bottom w:val="single" w:color="auto" w:sz="4" w:space="0"/>
              <w:right w:val="single" w:color="auto" w:sz="4" w:space="0"/>
            </w:tcBorders>
            <w:vAlign w:val="center"/>
          </w:tcPr>
          <w:p>
            <w:pPr>
              <w:pStyle w:val="17"/>
              <w:rPr>
                <w:rFonts w:hint="eastAsia"/>
                <w:highlight w:val="none"/>
              </w:rPr>
            </w:pPr>
          </w:p>
        </w:tc>
        <w:tc>
          <w:tcPr>
            <w:tcW w:w="1612" w:type="pct"/>
            <w:tcBorders>
              <w:top w:val="single" w:color="auto" w:sz="4" w:space="0"/>
              <w:left w:val="nil"/>
              <w:bottom w:val="single" w:color="auto" w:sz="4" w:space="0"/>
              <w:right w:val="single" w:color="auto" w:sz="4" w:space="0"/>
            </w:tcBorders>
            <w:shd w:val="clear" w:color="auto" w:fill="auto"/>
            <w:vAlign w:val="center"/>
          </w:tcPr>
          <w:p>
            <w:pPr>
              <w:pStyle w:val="17"/>
              <w:rPr>
                <w:rFonts w:hint="eastAsia" w:ascii="Times New Roman" w:hAnsi="Times New Roman"/>
                <w:highlight w:val="none"/>
                <w:lang w:val="en-US" w:eastAsia="zh-CN"/>
              </w:rPr>
            </w:pPr>
            <w:r>
              <w:rPr>
                <w:rFonts w:hint="eastAsia" w:ascii="Times New Roman" w:hAnsi="Times New Roman"/>
                <w:highlight w:val="none"/>
                <w:lang w:val="en-US" w:eastAsia="zh-CN"/>
              </w:rPr>
              <w:t>召开会议次数</w:t>
            </w:r>
          </w:p>
        </w:tc>
        <w:tc>
          <w:tcPr>
            <w:tcW w:w="1439" w:type="dxa"/>
            <w:tcBorders>
              <w:top w:val="single" w:color="auto" w:sz="4" w:space="0"/>
              <w:left w:val="single" w:color="000000" w:sz="4" w:space="0"/>
              <w:bottom w:val="single" w:color="000000" w:sz="4" w:space="0"/>
              <w:right w:val="single" w:color="000000" w:sz="4" w:space="0"/>
            </w:tcBorders>
            <w:shd w:val="clear" w:color="auto" w:fill="auto"/>
            <w:vAlign w:val="center"/>
          </w:tcPr>
          <w:p>
            <w:pPr>
              <w:pStyle w:val="17"/>
              <w:rPr>
                <w:rFonts w:hint="eastAsia" w:ascii="Times New Roman" w:hAnsi="Times New Roman"/>
                <w:highlight w:val="none"/>
                <w:lang w:val="en-US" w:eastAsia="zh-CN"/>
              </w:rPr>
            </w:pPr>
            <w:r>
              <w:rPr>
                <w:rFonts w:hint="eastAsia" w:ascii="Times New Roman" w:hAnsi="Times New Roman"/>
                <w:highlight w:val="none"/>
                <w:lang w:val="en-US" w:eastAsia="zh-CN"/>
              </w:rPr>
              <w:t>5</w:t>
            </w:r>
          </w:p>
        </w:tc>
        <w:tc>
          <w:tcPr>
            <w:tcW w:w="1373" w:type="dxa"/>
            <w:tcBorders>
              <w:top w:val="single" w:color="auto" w:sz="4" w:space="0"/>
              <w:left w:val="single" w:color="000000" w:sz="4" w:space="0"/>
              <w:bottom w:val="single" w:color="000000" w:sz="4" w:space="0"/>
              <w:right w:val="single" w:color="000000" w:sz="4" w:space="0"/>
            </w:tcBorders>
            <w:shd w:val="clear" w:color="auto" w:fill="auto"/>
            <w:vAlign w:val="center"/>
          </w:tcPr>
          <w:p>
            <w:pPr>
              <w:pStyle w:val="17"/>
              <w:rPr>
                <w:rFonts w:hint="eastAsia" w:ascii="Times New Roman" w:hAnsi="Times New Roman"/>
                <w:highlight w:val="none"/>
                <w:lang w:val="en-US" w:eastAsia="zh-CN"/>
              </w:rPr>
            </w:pPr>
            <w:r>
              <w:rPr>
                <w:rFonts w:hint="eastAsia" w:ascii="Times New Roman" w:hAnsi="Times New Roman"/>
                <w:highlight w:val="none"/>
                <w:lang w:val="en-US" w:eastAsia="zh-CN"/>
              </w:rPr>
              <w:t>5</w:t>
            </w:r>
          </w:p>
        </w:tc>
      </w:tr>
      <w:tr>
        <w:tblPrEx>
          <w:tblCellMar>
            <w:top w:w="0" w:type="dxa"/>
            <w:left w:w="108" w:type="dxa"/>
            <w:bottom w:w="0" w:type="dxa"/>
            <w:right w:w="108" w:type="dxa"/>
          </w:tblCellMar>
        </w:tblPrEx>
        <w:trPr>
          <w:trHeight w:val="567" w:hRule="atLeast"/>
          <w:jc w:val="center"/>
        </w:trPr>
        <w:tc>
          <w:tcPr>
            <w:tcW w:w="772" w:type="pct"/>
            <w:vMerge w:val="continue"/>
            <w:tcBorders>
              <w:left w:val="single" w:color="auto" w:sz="4" w:space="0"/>
              <w:right w:val="single" w:color="auto" w:sz="4" w:space="0"/>
            </w:tcBorders>
            <w:vAlign w:val="center"/>
          </w:tcPr>
          <w:p>
            <w:pPr>
              <w:pStyle w:val="17"/>
              <w:rPr>
                <w:rFonts w:hint="eastAsia"/>
                <w:highlight w:val="none"/>
                <w:lang w:val="en-US" w:eastAsia="zh-CN"/>
              </w:rPr>
            </w:pPr>
          </w:p>
        </w:tc>
        <w:tc>
          <w:tcPr>
            <w:tcW w:w="949" w:type="pct"/>
            <w:vMerge w:val="restart"/>
            <w:tcBorders>
              <w:top w:val="single" w:color="auto" w:sz="4" w:space="0"/>
              <w:left w:val="single" w:color="auto" w:sz="4" w:space="0"/>
              <w:right w:val="single" w:color="auto" w:sz="4" w:space="0"/>
            </w:tcBorders>
            <w:vAlign w:val="center"/>
          </w:tcPr>
          <w:p>
            <w:pPr>
              <w:pStyle w:val="17"/>
              <w:rPr>
                <w:rFonts w:hint="eastAsia" w:eastAsia="仿宋"/>
                <w:highlight w:val="none"/>
                <w:lang w:val="en-US" w:eastAsia="zh-CN"/>
              </w:rPr>
            </w:pPr>
            <w:r>
              <w:rPr>
                <w:rFonts w:hint="eastAsia"/>
                <w:highlight w:val="none"/>
                <w:lang w:val="en-US" w:eastAsia="zh-CN"/>
              </w:rPr>
              <w:t>质量指标</w:t>
            </w:r>
          </w:p>
        </w:tc>
        <w:tc>
          <w:tcPr>
            <w:tcW w:w="1612" w:type="pct"/>
            <w:tcBorders>
              <w:top w:val="single" w:color="auto" w:sz="4" w:space="0"/>
              <w:left w:val="nil"/>
              <w:bottom w:val="single" w:color="auto" w:sz="4" w:space="0"/>
              <w:right w:val="single" w:color="auto" w:sz="4" w:space="0"/>
            </w:tcBorders>
            <w:shd w:val="clear" w:color="auto" w:fill="auto"/>
            <w:vAlign w:val="center"/>
          </w:tcPr>
          <w:p>
            <w:pPr>
              <w:pStyle w:val="17"/>
              <w:rPr>
                <w:rFonts w:hint="eastAsia" w:ascii="Times New Roman" w:hAnsi="Times New Roman"/>
                <w:highlight w:val="none"/>
                <w:lang w:val="en-US" w:eastAsia="zh-CN"/>
              </w:rPr>
            </w:pPr>
            <w:r>
              <w:rPr>
                <w:rFonts w:hint="eastAsia" w:ascii="Times New Roman" w:hAnsi="Times New Roman"/>
                <w:highlight w:val="none"/>
                <w:lang w:val="en-US" w:eastAsia="zh-CN"/>
              </w:rPr>
              <w:t>举办联谊会完成率</w:t>
            </w:r>
          </w:p>
        </w:tc>
        <w:tc>
          <w:tcPr>
            <w:tcW w:w="1439" w:type="dxa"/>
            <w:tcBorders>
              <w:top w:val="single" w:color="auto" w:sz="4" w:space="0"/>
              <w:left w:val="single" w:color="000000" w:sz="4" w:space="0"/>
              <w:bottom w:val="single" w:color="000000" w:sz="4" w:space="0"/>
              <w:right w:val="single" w:color="000000" w:sz="4" w:space="0"/>
            </w:tcBorders>
            <w:shd w:val="clear" w:color="auto" w:fill="auto"/>
            <w:vAlign w:val="center"/>
          </w:tcPr>
          <w:p>
            <w:pPr>
              <w:pStyle w:val="17"/>
              <w:rPr>
                <w:rFonts w:hint="eastAsia" w:ascii="Times New Roman" w:hAnsi="Times New Roman"/>
                <w:highlight w:val="none"/>
                <w:lang w:val="en-US" w:eastAsia="zh-CN"/>
              </w:rPr>
            </w:pPr>
            <w:r>
              <w:rPr>
                <w:rFonts w:hint="eastAsia" w:ascii="Times New Roman" w:hAnsi="Times New Roman"/>
                <w:highlight w:val="none"/>
                <w:lang w:val="en-US" w:eastAsia="zh-CN"/>
              </w:rPr>
              <w:t>5</w:t>
            </w:r>
          </w:p>
        </w:tc>
        <w:tc>
          <w:tcPr>
            <w:tcW w:w="1373" w:type="dxa"/>
            <w:tcBorders>
              <w:top w:val="single" w:color="auto" w:sz="4" w:space="0"/>
              <w:left w:val="single" w:color="000000" w:sz="4" w:space="0"/>
              <w:bottom w:val="single" w:color="000000" w:sz="4" w:space="0"/>
              <w:right w:val="single" w:color="000000" w:sz="4" w:space="0"/>
            </w:tcBorders>
            <w:shd w:val="clear" w:color="auto" w:fill="auto"/>
            <w:vAlign w:val="center"/>
          </w:tcPr>
          <w:p>
            <w:pPr>
              <w:pStyle w:val="17"/>
              <w:rPr>
                <w:rFonts w:hint="eastAsia" w:ascii="Times New Roman" w:hAnsi="Times New Roman"/>
                <w:highlight w:val="none"/>
                <w:lang w:val="en-US" w:eastAsia="zh-CN"/>
              </w:rPr>
            </w:pPr>
            <w:r>
              <w:rPr>
                <w:rFonts w:hint="eastAsia" w:ascii="Times New Roman" w:hAnsi="Times New Roman"/>
                <w:highlight w:val="none"/>
                <w:lang w:val="en-US" w:eastAsia="zh-CN"/>
              </w:rPr>
              <w:t>5</w:t>
            </w:r>
          </w:p>
        </w:tc>
      </w:tr>
      <w:tr>
        <w:tblPrEx>
          <w:tblCellMar>
            <w:top w:w="0" w:type="dxa"/>
            <w:left w:w="108" w:type="dxa"/>
            <w:bottom w:w="0" w:type="dxa"/>
            <w:right w:w="108" w:type="dxa"/>
          </w:tblCellMar>
        </w:tblPrEx>
        <w:trPr>
          <w:trHeight w:val="567" w:hRule="atLeast"/>
          <w:jc w:val="center"/>
        </w:trPr>
        <w:tc>
          <w:tcPr>
            <w:tcW w:w="772" w:type="pct"/>
            <w:vMerge w:val="continue"/>
            <w:tcBorders>
              <w:left w:val="single" w:color="auto" w:sz="4" w:space="0"/>
              <w:right w:val="single" w:color="auto" w:sz="4" w:space="0"/>
            </w:tcBorders>
            <w:vAlign w:val="center"/>
          </w:tcPr>
          <w:p>
            <w:pPr>
              <w:pStyle w:val="17"/>
              <w:rPr>
                <w:rFonts w:hint="eastAsia"/>
                <w:highlight w:val="none"/>
                <w:lang w:val="en-US" w:eastAsia="zh-CN"/>
              </w:rPr>
            </w:pPr>
          </w:p>
        </w:tc>
        <w:tc>
          <w:tcPr>
            <w:tcW w:w="949" w:type="pct"/>
            <w:vMerge w:val="continue"/>
            <w:tcBorders>
              <w:left w:val="single" w:color="auto" w:sz="4" w:space="0"/>
              <w:right w:val="single" w:color="auto" w:sz="4" w:space="0"/>
            </w:tcBorders>
            <w:vAlign w:val="center"/>
          </w:tcPr>
          <w:p>
            <w:pPr>
              <w:pStyle w:val="17"/>
              <w:rPr>
                <w:rFonts w:hint="eastAsia"/>
                <w:highlight w:val="none"/>
              </w:rPr>
            </w:pPr>
          </w:p>
        </w:tc>
        <w:tc>
          <w:tcPr>
            <w:tcW w:w="1612" w:type="pct"/>
            <w:tcBorders>
              <w:top w:val="single" w:color="auto" w:sz="4" w:space="0"/>
              <w:left w:val="nil"/>
              <w:bottom w:val="single" w:color="auto" w:sz="4" w:space="0"/>
              <w:right w:val="single" w:color="auto" w:sz="4" w:space="0"/>
            </w:tcBorders>
            <w:shd w:val="clear" w:color="auto" w:fill="auto"/>
            <w:vAlign w:val="center"/>
          </w:tcPr>
          <w:p>
            <w:pPr>
              <w:pStyle w:val="17"/>
              <w:rPr>
                <w:rFonts w:hint="eastAsia" w:ascii="Times New Roman" w:hAnsi="Times New Roman"/>
                <w:highlight w:val="none"/>
                <w:lang w:val="en-US" w:eastAsia="zh-CN"/>
              </w:rPr>
            </w:pPr>
            <w:r>
              <w:rPr>
                <w:rFonts w:hint="eastAsia" w:ascii="Times New Roman" w:hAnsi="Times New Roman"/>
                <w:highlight w:val="none"/>
                <w:lang w:val="en-US" w:eastAsia="zh-CN"/>
              </w:rPr>
              <w:t>慰问完成率</w:t>
            </w:r>
          </w:p>
        </w:tc>
        <w:tc>
          <w:tcPr>
            <w:tcW w:w="1439" w:type="dxa"/>
            <w:tcBorders>
              <w:top w:val="single" w:color="auto" w:sz="4" w:space="0"/>
              <w:left w:val="single" w:color="000000" w:sz="4" w:space="0"/>
              <w:bottom w:val="single" w:color="000000" w:sz="4" w:space="0"/>
              <w:right w:val="single" w:color="000000" w:sz="4" w:space="0"/>
            </w:tcBorders>
            <w:shd w:val="clear" w:color="auto" w:fill="auto"/>
            <w:vAlign w:val="center"/>
          </w:tcPr>
          <w:p>
            <w:pPr>
              <w:pStyle w:val="17"/>
              <w:rPr>
                <w:rFonts w:hint="eastAsia" w:ascii="Times New Roman" w:hAnsi="Times New Roman"/>
                <w:highlight w:val="none"/>
                <w:lang w:val="en-US" w:eastAsia="zh-CN"/>
              </w:rPr>
            </w:pPr>
            <w:r>
              <w:rPr>
                <w:rFonts w:hint="eastAsia" w:ascii="Times New Roman" w:hAnsi="Times New Roman"/>
                <w:highlight w:val="none"/>
                <w:lang w:val="en-US" w:eastAsia="zh-CN"/>
              </w:rPr>
              <w:t>5</w:t>
            </w:r>
          </w:p>
        </w:tc>
        <w:tc>
          <w:tcPr>
            <w:tcW w:w="1373" w:type="dxa"/>
            <w:tcBorders>
              <w:top w:val="single" w:color="auto" w:sz="4" w:space="0"/>
              <w:left w:val="single" w:color="000000" w:sz="4" w:space="0"/>
              <w:bottom w:val="single" w:color="000000" w:sz="4" w:space="0"/>
              <w:right w:val="single" w:color="000000" w:sz="4" w:space="0"/>
            </w:tcBorders>
            <w:shd w:val="clear" w:color="auto" w:fill="auto"/>
            <w:vAlign w:val="center"/>
          </w:tcPr>
          <w:p>
            <w:pPr>
              <w:pStyle w:val="17"/>
              <w:rPr>
                <w:rFonts w:hint="eastAsia" w:ascii="Times New Roman" w:hAnsi="Times New Roman"/>
                <w:highlight w:val="none"/>
                <w:lang w:val="en-US" w:eastAsia="zh-CN"/>
              </w:rPr>
            </w:pPr>
            <w:r>
              <w:rPr>
                <w:rFonts w:hint="eastAsia" w:ascii="Times New Roman" w:hAnsi="Times New Roman"/>
                <w:highlight w:val="none"/>
                <w:lang w:val="en-US" w:eastAsia="zh-CN"/>
              </w:rPr>
              <w:t>5</w:t>
            </w:r>
          </w:p>
        </w:tc>
      </w:tr>
      <w:tr>
        <w:tblPrEx>
          <w:tblCellMar>
            <w:top w:w="0" w:type="dxa"/>
            <w:left w:w="108" w:type="dxa"/>
            <w:bottom w:w="0" w:type="dxa"/>
            <w:right w:w="108" w:type="dxa"/>
          </w:tblCellMar>
        </w:tblPrEx>
        <w:trPr>
          <w:trHeight w:val="567" w:hRule="atLeast"/>
          <w:jc w:val="center"/>
        </w:trPr>
        <w:tc>
          <w:tcPr>
            <w:tcW w:w="772" w:type="pct"/>
            <w:vMerge w:val="continue"/>
            <w:tcBorders>
              <w:left w:val="single" w:color="auto" w:sz="4" w:space="0"/>
              <w:right w:val="single" w:color="auto" w:sz="4" w:space="0"/>
            </w:tcBorders>
            <w:vAlign w:val="center"/>
          </w:tcPr>
          <w:p>
            <w:pPr>
              <w:pStyle w:val="17"/>
              <w:rPr>
                <w:rFonts w:hint="eastAsia"/>
                <w:highlight w:val="none"/>
                <w:lang w:val="en-US" w:eastAsia="zh-CN"/>
              </w:rPr>
            </w:pPr>
          </w:p>
        </w:tc>
        <w:tc>
          <w:tcPr>
            <w:tcW w:w="949" w:type="pct"/>
            <w:vMerge w:val="continue"/>
            <w:tcBorders>
              <w:left w:val="single" w:color="auto" w:sz="4" w:space="0"/>
              <w:bottom w:val="single" w:color="auto" w:sz="4" w:space="0"/>
              <w:right w:val="single" w:color="auto" w:sz="4" w:space="0"/>
            </w:tcBorders>
            <w:vAlign w:val="center"/>
          </w:tcPr>
          <w:p>
            <w:pPr>
              <w:pStyle w:val="17"/>
              <w:rPr>
                <w:rFonts w:hint="eastAsia"/>
                <w:highlight w:val="none"/>
              </w:rPr>
            </w:pPr>
          </w:p>
        </w:tc>
        <w:tc>
          <w:tcPr>
            <w:tcW w:w="1612" w:type="pct"/>
            <w:tcBorders>
              <w:top w:val="single" w:color="auto" w:sz="4" w:space="0"/>
              <w:left w:val="nil"/>
              <w:bottom w:val="single" w:color="auto" w:sz="4" w:space="0"/>
              <w:right w:val="single" w:color="auto" w:sz="4" w:space="0"/>
            </w:tcBorders>
            <w:shd w:val="clear" w:color="auto" w:fill="auto"/>
            <w:vAlign w:val="center"/>
          </w:tcPr>
          <w:p>
            <w:pPr>
              <w:pStyle w:val="17"/>
              <w:rPr>
                <w:rFonts w:hint="eastAsia" w:ascii="Times New Roman" w:hAnsi="Times New Roman"/>
                <w:highlight w:val="none"/>
                <w:lang w:val="en-US" w:eastAsia="zh-CN"/>
              </w:rPr>
            </w:pPr>
            <w:r>
              <w:rPr>
                <w:rFonts w:hint="eastAsia" w:ascii="Times New Roman" w:hAnsi="Times New Roman"/>
                <w:highlight w:val="none"/>
                <w:lang w:val="en-US" w:eastAsia="zh-CN"/>
              </w:rPr>
              <w:t>召开会议到位率</w:t>
            </w:r>
          </w:p>
        </w:tc>
        <w:tc>
          <w:tcPr>
            <w:tcW w:w="1439" w:type="dxa"/>
            <w:tcBorders>
              <w:top w:val="single" w:color="auto" w:sz="4" w:space="0"/>
              <w:left w:val="single" w:color="000000" w:sz="4" w:space="0"/>
              <w:bottom w:val="single" w:color="000000" w:sz="4" w:space="0"/>
              <w:right w:val="single" w:color="000000" w:sz="4" w:space="0"/>
            </w:tcBorders>
            <w:shd w:val="clear" w:color="auto" w:fill="auto"/>
            <w:vAlign w:val="center"/>
          </w:tcPr>
          <w:p>
            <w:pPr>
              <w:pStyle w:val="17"/>
              <w:rPr>
                <w:rFonts w:hint="eastAsia" w:ascii="Times New Roman" w:hAnsi="Times New Roman"/>
                <w:highlight w:val="none"/>
                <w:lang w:val="en-US" w:eastAsia="zh-CN"/>
              </w:rPr>
            </w:pPr>
            <w:r>
              <w:rPr>
                <w:rFonts w:hint="eastAsia" w:ascii="Times New Roman" w:hAnsi="Times New Roman"/>
                <w:highlight w:val="none"/>
                <w:lang w:val="en-US" w:eastAsia="zh-CN"/>
              </w:rPr>
              <w:t>5</w:t>
            </w:r>
          </w:p>
        </w:tc>
        <w:tc>
          <w:tcPr>
            <w:tcW w:w="1373" w:type="dxa"/>
            <w:tcBorders>
              <w:top w:val="single" w:color="auto" w:sz="4" w:space="0"/>
              <w:left w:val="single" w:color="000000" w:sz="4" w:space="0"/>
              <w:bottom w:val="single" w:color="000000" w:sz="4" w:space="0"/>
              <w:right w:val="single" w:color="000000" w:sz="4" w:space="0"/>
            </w:tcBorders>
            <w:shd w:val="clear" w:color="auto" w:fill="auto"/>
            <w:vAlign w:val="center"/>
          </w:tcPr>
          <w:p>
            <w:pPr>
              <w:pStyle w:val="17"/>
              <w:rPr>
                <w:rFonts w:hint="eastAsia" w:ascii="Times New Roman" w:hAnsi="Times New Roman"/>
                <w:highlight w:val="none"/>
                <w:lang w:val="en-US" w:eastAsia="zh-CN"/>
              </w:rPr>
            </w:pPr>
            <w:r>
              <w:rPr>
                <w:rFonts w:hint="eastAsia" w:ascii="Times New Roman" w:hAnsi="Times New Roman"/>
                <w:highlight w:val="none"/>
                <w:lang w:val="en-US" w:eastAsia="zh-CN"/>
              </w:rPr>
              <w:t>5</w:t>
            </w:r>
          </w:p>
        </w:tc>
      </w:tr>
      <w:tr>
        <w:tblPrEx>
          <w:tblCellMar>
            <w:top w:w="0" w:type="dxa"/>
            <w:left w:w="108" w:type="dxa"/>
            <w:bottom w:w="0" w:type="dxa"/>
            <w:right w:w="108" w:type="dxa"/>
          </w:tblCellMar>
        </w:tblPrEx>
        <w:trPr>
          <w:trHeight w:val="567" w:hRule="atLeast"/>
          <w:jc w:val="center"/>
        </w:trPr>
        <w:tc>
          <w:tcPr>
            <w:tcW w:w="772" w:type="pct"/>
            <w:vMerge w:val="continue"/>
            <w:tcBorders>
              <w:left w:val="single" w:color="auto" w:sz="4" w:space="0"/>
              <w:right w:val="single" w:color="auto" w:sz="4" w:space="0"/>
            </w:tcBorders>
            <w:vAlign w:val="center"/>
          </w:tcPr>
          <w:p>
            <w:pPr>
              <w:pStyle w:val="17"/>
              <w:rPr>
                <w:rFonts w:hint="eastAsia"/>
                <w:highlight w:val="none"/>
                <w:lang w:val="en-US" w:eastAsia="zh-CN"/>
              </w:rPr>
            </w:pPr>
          </w:p>
        </w:tc>
        <w:tc>
          <w:tcPr>
            <w:tcW w:w="949" w:type="pct"/>
            <w:vMerge w:val="restart"/>
            <w:tcBorders>
              <w:top w:val="single" w:color="auto" w:sz="4" w:space="0"/>
              <w:left w:val="single" w:color="auto" w:sz="4" w:space="0"/>
              <w:right w:val="single" w:color="auto" w:sz="4" w:space="0"/>
            </w:tcBorders>
            <w:vAlign w:val="center"/>
          </w:tcPr>
          <w:p>
            <w:pPr>
              <w:pStyle w:val="17"/>
              <w:rPr>
                <w:rFonts w:hint="eastAsia" w:eastAsia="仿宋"/>
                <w:highlight w:val="none"/>
                <w:lang w:val="en-US" w:eastAsia="zh-CN"/>
              </w:rPr>
            </w:pPr>
            <w:r>
              <w:rPr>
                <w:rFonts w:hint="eastAsia"/>
                <w:highlight w:val="none"/>
                <w:lang w:val="en-US" w:eastAsia="zh-CN"/>
              </w:rPr>
              <w:t>时效指标</w:t>
            </w:r>
          </w:p>
        </w:tc>
        <w:tc>
          <w:tcPr>
            <w:tcW w:w="1612" w:type="pct"/>
            <w:tcBorders>
              <w:top w:val="single" w:color="auto" w:sz="4" w:space="0"/>
              <w:left w:val="nil"/>
              <w:bottom w:val="single" w:color="auto" w:sz="4" w:space="0"/>
              <w:right w:val="single" w:color="auto" w:sz="4" w:space="0"/>
            </w:tcBorders>
            <w:shd w:val="clear" w:color="auto" w:fill="auto"/>
            <w:vAlign w:val="center"/>
          </w:tcPr>
          <w:p>
            <w:pPr>
              <w:pStyle w:val="17"/>
              <w:rPr>
                <w:rFonts w:hint="eastAsia" w:ascii="Times New Roman" w:hAnsi="Times New Roman"/>
                <w:highlight w:val="none"/>
                <w:lang w:val="en-US" w:eastAsia="zh-CN"/>
              </w:rPr>
            </w:pPr>
            <w:r>
              <w:rPr>
                <w:rFonts w:hint="eastAsia" w:ascii="Times New Roman" w:hAnsi="Times New Roman"/>
                <w:highlight w:val="none"/>
                <w:lang w:val="en-US" w:eastAsia="zh-CN"/>
              </w:rPr>
              <w:t>举办联谊会及时性</w:t>
            </w:r>
          </w:p>
        </w:tc>
        <w:tc>
          <w:tcPr>
            <w:tcW w:w="1439" w:type="dxa"/>
            <w:tcBorders>
              <w:top w:val="single" w:color="auto" w:sz="4" w:space="0"/>
              <w:left w:val="single" w:color="000000" w:sz="4" w:space="0"/>
              <w:bottom w:val="single" w:color="000000" w:sz="4" w:space="0"/>
              <w:right w:val="single" w:color="000000" w:sz="4" w:space="0"/>
            </w:tcBorders>
            <w:shd w:val="clear" w:color="auto" w:fill="auto"/>
            <w:vAlign w:val="center"/>
          </w:tcPr>
          <w:p>
            <w:pPr>
              <w:pStyle w:val="17"/>
              <w:rPr>
                <w:rFonts w:hint="eastAsia" w:ascii="Times New Roman" w:hAnsi="Times New Roman"/>
                <w:highlight w:val="none"/>
                <w:lang w:val="en-US" w:eastAsia="zh-CN"/>
              </w:rPr>
            </w:pPr>
            <w:r>
              <w:rPr>
                <w:rFonts w:hint="eastAsia" w:ascii="Times New Roman" w:hAnsi="Times New Roman"/>
                <w:highlight w:val="none"/>
                <w:lang w:val="en-US" w:eastAsia="zh-CN"/>
              </w:rPr>
              <w:t>3</w:t>
            </w:r>
          </w:p>
        </w:tc>
        <w:tc>
          <w:tcPr>
            <w:tcW w:w="1373" w:type="dxa"/>
            <w:tcBorders>
              <w:top w:val="single" w:color="auto" w:sz="4" w:space="0"/>
              <w:left w:val="single" w:color="000000" w:sz="4" w:space="0"/>
              <w:bottom w:val="single" w:color="000000" w:sz="4" w:space="0"/>
              <w:right w:val="single" w:color="000000" w:sz="4" w:space="0"/>
            </w:tcBorders>
            <w:shd w:val="clear" w:color="auto" w:fill="auto"/>
            <w:vAlign w:val="center"/>
          </w:tcPr>
          <w:p>
            <w:pPr>
              <w:pStyle w:val="17"/>
              <w:rPr>
                <w:rFonts w:hint="eastAsia" w:ascii="Times New Roman" w:hAnsi="Times New Roman"/>
                <w:highlight w:val="none"/>
                <w:lang w:val="en-US" w:eastAsia="zh-CN"/>
              </w:rPr>
            </w:pPr>
            <w:r>
              <w:rPr>
                <w:rFonts w:hint="eastAsia" w:ascii="Times New Roman" w:hAnsi="Times New Roman"/>
                <w:highlight w:val="none"/>
                <w:lang w:val="en-US" w:eastAsia="zh-CN"/>
              </w:rPr>
              <w:t>3</w:t>
            </w:r>
          </w:p>
        </w:tc>
      </w:tr>
      <w:tr>
        <w:tblPrEx>
          <w:tblCellMar>
            <w:top w:w="0" w:type="dxa"/>
            <w:left w:w="108" w:type="dxa"/>
            <w:bottom w:w="0" w:type="dxa"/>
            <w:right w:w="108" w:type="dxa"/>
          </w:tblCellMar>
        </w:tblPrEx>
        <w:trPr>
          <w:trHeight w:val="567" w:hRule="atLeast"/>
          <w:jc w:val="center"/>
        </w:trPr>
        <w:tc>
          <w:tcPr>
            <w:tcW w:w="772" w:type="pct"/>
            <w:vMerge w:val="continue"/>
            <w:tcBorders>
              <w:left w:val="single" w:color="auto" w:sz="4" w:space="0"/>
              <w:right w:val="single" w:color="auto" w:sz="4" w:space="0"/>
            </w:tcBorders>
            <w:vAlign w:val="center"/>
          </w:tcPr>
          <w:p>
            <w:pPr>
              <w:pStyle w:val="17"/>
              <w:rPr>
                <w:rFonts w:hint="eastAsia"/>
                <w:highlight w:val="none"/>
                <w:lang w:val="en-US" w:eastAsia="zh-CN"/>
              </w:rPr>
            </w:pPr>
          </w:p>
        </w:tc>
        <w:tc>
          <w:tcPr>
            <w:tcW w:w="949" w:type="pct"/>
            <w:vMerge w:val="continue"/>
            <w:tcBorders>
              <w:left w:val="single" w:color="auto" w:sz="4" w:space="0"/>
              <w:right w:val="single" w:color="auto" w:sz="4" w:space="0"/>
            </w:tcBorders>
            <w:vAlign w:val="center"/>
          </w:tcPr>
          <w:p>
            <w:pPr>
              <w:pStyle w:val="17"/>
              <w:rPr>
                <w:rFonts w:hint="eastAsia"/>
                <w:highlight w:val="none"/>
              </w:rPr>
            </w:pPr>
          </w:p>
        </w:tc>
        <w:tc>
          <w:tcPr>
            <w:tcW w:w="1612" w:type="pct"/>
            <w:tcBorders>
              <w:top w:val="single" w:color="auto" w:sz="4" w:space="0"/>
              <w:left w:val="nil"/>
              <w:bottom w:val="single" w:color="auto" w:sz="4" w:space="0"/>
              <w:right w:val="single" w:color="auto" w:sz="4" w:space="0"/>
            </w:tcBorders>
            <w:shd w:val="clear" w:color="auto" w:fill="auto"/>
            <w:vAlign w:val="center"/>
          </w:tcPr>
          <w:p>
            <w:pPr>
              <w:pStyle w:val="17"/>
              <w:rPr>
                <w:rFonts w:hint="eastAsia" w:ascii="Times New Roman" w:hAnsi="Times New Roman"/>
                <w:highlight w:val="none"/>
                <w:lang w:val="en-US" w:eastAsia="zh-CN"/>
              </w:rPr>
            </w:pPr>
            <w:r>
              <w:rPr>
                <w:rFonts w:hint="eastAsia" w:ascii="Times New Roman" w:hAnsi="Times New Roman"/>
                <w:highlight w:val="none"/>
                <w:lang w:val="en-US" w:eastAsia="zh-CN"/>
              </w:rPr>
              <w:t>慰问及时性</w:t>
            </w:r>
          </w:p>
        </w:tc>
        <w:tc>
          <w:tcPr>
            <w:tcW w:w="1439" w:type="dxa"/>
            <w:tcBorders>
              <w:top w:val="single" w:color="auto" w:sz="4" w:space="0"/>
              <w:left w:val="single" w:color="000000" w:sz="4" w:space="0"/>
              <w:bottom w:val="single" w:color="000000" w:sz="4" w:space="0"/>
              <w:right w:val="single" w:color="000000" w:sz="4" w:space="0"/>
            </w:tcBorders>
            <w:shd w:val="clear" w:color="auto" w:fill="auto"/>
            <w:vAlign w:val="center"/>
          </w:tcPr>
          <w:p>
            <w:pPr>
              <w:pStyle w:val="17"/>
              <w:rPr>
                <w:rFonts w:hint="eastAsia" w:ascii="Times New Roman" w:hAnsi="Times New Roman"/>
                <w:highlight w:val="none"/>
                <w:lang w:val="en-US" w:eastAsia="zh-CN"/>
              </w:rPr>
            </w:pPr>
            <w:r>
              <w:rPr>
                <w:rFonts w:hint="eastAsia" w:ascii="Times New Roman" w:hAnsi="Times New Roman"/>
                <w:highlight w:val="none"/>
                <w:lang w:val="en-US" w:eastAsia="zh-CN"/>
              </w:rPr>
              <w:t>3</w:t>
            </w:r>
          </w:p>
        </w:tc>
        <w:tc>
          <w:tcPr>
            <w:tcW w:w="1373" w:type="dxa"/>
            <w:tcBorders>
              <w:top w:val="single" w:color="auto" w:sz="4" w:space="0"/>
              <w:left w:val="single" w:color="000000" w:sz="4" w:space="0"/>
              <w:bottom w:val="single" w:color="000000" w:sz="4" w:space="0"/>
              <w:right w:val="single" w:color="000000" w:sz="4" w:space="0"/>
            </w:tcBorders>
            <w:shd w:val="clear" w:color="auto" w:fill="auto"/>
            <w:vAlign w:val="center"/>
          </w:tcPr>
          <w:p>
            <w:pPr>
              <w:pStyle w:val="17"/>
              <w:rPr>
                <w:rFonts w:hint="eastAsia" w:ascii="Times New Roman" w:hAnsi="Times New Roman"/>
                <w:highlight w:val="none"/>
                <w:lang w:val="en-US" w:eastAsia="zh-CN"/>
              </w:rPr>
            </w:pPr>
            <w:r>
              <w:rPr>
                <w:rFonts w:hint="eastAsia" w:ascii="Times New Roman" w:hAnsi="Times New Roman"/>
                <w:highlight w:val="none"/>
                <w:lang w:val="en-US" w:eastAsia="zh-CN"/>
              </w:rPr>
              <w:t>3</w:t>
            </w:r>
          </w:p>
        </w:tc>
      </w:tr>
      <w:tr>
        <w:tblPrEx>
          <w:tblCellMar>
            <w:top w:w="0" w:type="dxa"/>
            <w:left w:w="108" w:type="dxa"/>
            <w:bottom w:w="0" w:type="dxa"/>
            <w:right w:w="108" w:type="dxa"/>
          </w:tblCellMar>
        </w:tblPrEx>
        <w:trPr>
          <w:trHeight w:val="567" w:hRule="atLeast"/>
          <w:jc w:val="center"/>
        </w:trPr>
        <w:tc>
          <w:tcPr>
            <w:tcW w:w="772" w:type="pct"/>
            <w:vMerge w:val="continue"/>
            <w:tcBorders>
              <w:left w:val="single" w:color="auto" w:sz="4" w:space="0"/>
              <w:right w:val="single" w:color="auto" w:sz="4" w:space="0"/>
            </w:tcBorders>
            <w:vAlign w:val="center"/>
          </w:tcPr>
          <w:p>
            <w:pPr>
              <w:pStyle w:val="17"/>
              <w:rPr>
                <w:rFonts w:hint="eastAsia"/>
                <w:highlight w:val="none"/>
                <w:lang w:val="en-US" w:eastAsia="zh-CN"/>
              </w:rPr>
            </w:pPr>
          </w:p>
        </w:tc>
        <w:tc>
          <w:tcPr>
            <w:tcW w:w="949" w:type="pct"/>
            <w:vMerge w:val="continue"/>
            <w:tcBorders>
              <w:left w:val="single" w:color="auto" w:sz="4" w:space="0"/>
              <w:bottom w:val="single" w:color="auto" w:sz="4" w:space="0"/>
              <w:right w:val="single" w:color="auto" w:sz="4" w:space="0"/>
            </w:tcBorders>
            <w:vAlign w:val="center"/>
          </w:tcPr>
          <w:p>
            <w:pPr>
              <w:pStyle w:val="17"/>
              <w:rPr>
                <w:rFonts w:hint="eastAsia"/>
                <w:highlight w:val="none"/>
              </w:rPr>
            </w:pPr>
          </w:p>
        </w:tc>
        <w:tc>
          <w:tcPr>
            <w:tcW w:w="1612" w:type="pct"/>
            <w:tcBorders>
              <w:top w:val="single" w:color="auto" w:sz="4" w:space="0"/>
              <w:left w:val="nil"/>
              <w:bottom w:val="single" w:color="auto" w:sz="4" w:space="0"/>
              <w:right w:val="single" w:color="auto" w:sz="4" w:space="0"/>
            </w:tcBorders>
            <w:shd w:val="clear" w:color="auto" w:fill="auto"/>
            <w:vAlign w:val="center"/>
          </w:tcPr>
          <w:p>
            <w:pPr>
              <w:pStyle w:val="17"/>
              <w:rPr>
                <w:rFonts w:hint="eastAsia" w:ascii="Times New Roman" w:hAnsi="Times New Roman"/>
                <w:highlight w:val="none"/>
                <w:lang w:val="en-US" w:eastAsia="zh-CN"/>
              </w:rPr>
            </w:pPr>
            <w:r>
              <w:rPr>
                <w:rFonts w:hint="eastAsia" w:ascii="Times New Roman" w:hAnsi="Times New Roman"/>
                <w:highlight w:val="none"/>
                <w:lang w:val="en-US" w:eastAsia="zh-CN"/>
              </w:rPr>
              <w:t>召开会议及时性</w:t>
            </w:r>
          </w:p>
        </w:tc>
        <w:tc>
          <w:tcPr>
            <w:tcW w:w="1439" w:type="dxa"/>
            <w:tcBorders>
              <w:top w:val="single" w:color="auto" w:sz="4" w:space="0"/>
              <w:left w:val="single" w:color="000000" w:sz="4" w:space="0"/>
              <w:bottom w:val="single" w:color="000000" w:sz="4" w:space="0"/>
              <w:right w:val="single" w:color="000000" w:sz="4" w:space="0"/>
            </w:tcBorders>
            <w:shd w:val="clear" w:color="auto" w:fill="auto"/>
            <w:vAlign w:val="center"/>
          </w:tcPr>
          <w:p>
            <w:pPr>
              <w:pStyle w:val="17"/>
              <w:rPr>
                <w:rFonts w:hint="eastAsia" w:ascii="Times New Roman" w:hAnsi="Times New Roman"/>
                <w:highlight w:val="none"/>
                <w:lang w:val="en-US" w:eastAsia="zh-CN"/>
              </w:rPr>
            </w:pPr>
            <w:r>
              <w:rPr>
                <w:rFonts w:hint="eastAsia" w:ascii="Times New Roman" w:hAnsi="Times New Roman"/>
                <w:highlight w:val="none"/>
                <w:lang w:val="en-US" w:eastAsia="zh-CN"/>
              </w:rPr>
              <w:t>3</w:t>
            </w:r>
          </w:p>
        </w:tc>
        <w:tc>
          <w:tcPr>
            <w:tcW w:w="1373" w:type="dxa"/>
            <w:tcBorders>
              <w:top w:val="single" w:color="auto" w:sz="4" w:space="0"/>
              <w:left w:val="single" w:color="000000" w:sz="4" w:space="0"/>
              <w:bottom w:val="single" w:color="000000" w:sz="4" w:space="0"/>
              <w:right w:val="single" w:color="000000" w:sz="4" w:space="0"/>
            </w:tcBorders>
            <w:shd w:val="clear" w:color="auto" w:fill="auto"/>
            <w:vAlign w:val="center"/>
          </w:tcPr>
          <w:p>
            <w:pPr>
              <w:pStyle w:val="17"/>
              <w:rPr>
                <w:rFonts w:hint="eastAsia" w:ascii="Times New Roman" w:hAnsi="Times New Roman"/>
                <w:highlight w:val="none"/>
                <w:lang w:val="en-US" w:eastAsia="zh-CN"/>
              </w:rPr>
            </w:pPr>
            <w:r>
              <w:rPr>
                <w:rFonts w:hint="eastAsia" w:ascii="Times New Roman" w:hAnsi="Times New Roman"/>
                <w:highlight w:val="none"/>
                <w:lang w:val="en-US" w:eastAsia="zh-CN"/>
              </w:rPr>
              <w:t>3</w:t>
            </w:r>
          </w:p>
        </w:tc>
      </w:tr>
      <w:tr>
        <w:tblPrEx>
          <w:tblCellMar>
            <w:top w:w="0" w:type="dxa"/>
            <w:left w:w="108" w:type="dxa"/>
            <w:bottom w:w="0" w:type="dxa"/>
            <w:right w:w="108" w:type="dxa"/>
          </w:tblCellMar>
        </w:tblPrEx>
        <w:trPr>
          <w:trHeight w:val="567" w:hRule="atLeast"/>
          <w:jc w:val="center"/>
        </w:trPr>
        <w:tc>
          <w:tcPr>
            <w:tcW w:w="772" w:type="pct"/>
            <w:vMerge w:val="continue"/>
            <w:tcBorders>
              <w:left w:val="single" w:color="auto" w:sz="4" w:space="0"/>
              <w:bottom w:val="single" w:color="000000" w:sz="4" w:space="0"/>
              <w:right w:val="single" w:color="auto" w:sz="4" w:space="0"/>
            </w:tcBorders>
            <w:vAlign w:val="center"/>
          </w:tcPr>
          <w:p>
            <w:pPr>
              <w:pStyle w:val="17"/>
              <w:rPr>
                <w:rFonts w:hint="eastAsia"/>
                <w:highlight w:val="none"/>
                <w:lang w:val="en-US" w:eastAsia="zh-CN"/>
              </w:rPr>
            </w:pPr>
          </w:p>
        </w:tc>
        <w:tc>
          <w:tcPr>
            <w:tcW w:w="949" w:type="pct"/>
            <w:tcBorders>
              <w:top w:val="single" w:color="auto" w:sz="4" w:space="0"/>
              <w:left w:val="single" w:color="auto" w:sz="4" w:space="0"/>
              <w:bottom w:val="single" w:color="auto" w:sz="4" w:space="0"/>
              <w:right w:val="single" w:color="auto" w:sz="4" w:space="0"/>
            </w:tcBorders>
            <w:vAlign w:val="center"/>
          </w:tcPr>
          <w:p>
            <w:pPr>
              <w:pStyle w:val="17"/>
              <w:rPr>
                <w:rFonts w:hint="eastAsia" w:eastAsia="仿宋"/>
                <w:highlight w:val="none"/>
                <w:lang w:val="en-US" w:eastAsia="zh-CN"/>
              </w:rPr>
            </w:pPr>
            <w:r>
              <w:rPr>
                <w:rFonts w:hint="eastAsia"/>
                <w:highlight w:val="none"/>
                <w:lang w:val="en-US" w:eastAsia="zh-CN"/>
              </w:rPr>
              <w:t>成本指标</w:t>
            </w:r>
          </w:p>
        </w:tc>
        <w:tc>
          <w:tcPr>
            <w:tcW w:w="1612" w:type="pct"/>
            <w:tcBorders>
              <w:top w:val="single" w:color="auto" w:sz="4" w:space="0"/>
              <w:left w:val="nil"/>
              <w:bottom w:val="single" w:color="auto" w:sz="4" w:space="0"/>
              <w:right w:val="single" w:color="auto" w:sz="4" w:space="0"/>
            </w:tcBorders>
            <w:shd w:val="clear" w:color="auto" w:fill="auto"/>
            <w:vAlign w:val="center"/>
          </w:tcPr>
          <w:p>
            <w:pPr>
              <w:pStyle w:val="17"/>
              <w:rPr>
                <w:rFonts w:hint="eastAsia" w:ascii="Times New Roman" w:hAnsi="Times New Roman"/>
                <w:highlight w:val="none"/>
                <w:lang w:val="en-US" w:eastAsia="zh-CN"/>
              </w:rPr>
            </w:pPr>
            <w:r>
              <w:rPr>
                <w:rFonts w:hint="eastAsia" w:ascii="Times New Roman" w:hAnsi="Times New Roman"/>
                <w:highlight w:val="none"/>
                <w:lang w:val="en-US" w:eastAsia="zh-CN"/>
              </w:rPr>
              <w:t>项目总成本</w:t>
            </w:r>
          </w:p>
        </w:tc>
        <w:tc>
          <w:tcPr>
            <w:tcW w:w="1439" w:type="dxa"/>
            <w:tcBorders>
              <w:top w:val="single" w:color="auto" w:sz="4" w:space="0"/>
              <w:left w:val="single" w:color="000000" w:sz="4" w:space="0"/>
              <w:bottom w:val="single" w:color="000000" w:sz="4" w:space="0"/>
              <w:right w:val="single" w:color="000000" w:sz="4" w:space="0"/>
            </w:tcBorders>
            <w:shd w:val="clear" w:color="auto" w:fill="auto"/>
            <w:vAlign w:val="center"/>
          </w:tcPr>
          <w:p>
            <w:pPr>
              <w:pStyle w:val="17"/>
              <w:rPr>
                <w:rFonts w:hint="eastAsia" w:ascii="Times New Roman" w:hAnsi="Times New Roman"/>
                <w:highlight w:val="none"/>
                <w:lang w:val="en-US" w:eastAsia="zh-CN"/>
              </w:rPr>
            </w:pPr>
            <w:r>
              <w:rPr>
                <w:rFonts w:hint="eastAsia" w:ascii="Times New Roman" w:hAnsi="Times New Roman"/>
                <w:highlight w:val="none"/>
                <w:lang w:val="en-US" w:eastAsia="zh-CN"/>
              </w:rPr>
              <w:t>6</w:t>
            </w:r>
          </w:p>
        </w:tc>
        <w:tc>
          <w:tcPr>
            <w:tcW w:w="1373" w:type="dxa"/>
            <w:tcBorders>
              <w:top w:val="single" w:color="auto" w:sz="4" w:space="0"/>
              <w:left w:val="single" w:color="000000" w:sz="4" w:space="0"/>
              <w:bottom w:val="single" w:color="000000" w:sz="4" w:space="0"/>
              <w:right w:val="single" w:color="000000" w:sz="4" w:space="0"/>
            </w:tcBorders>
            <w:shd w:val="clear" w:color="auto" w:fill="auto"/>
            <w:vAlign w:val="center"/>
          </w:tcPr>
          <w:p>
            <w:pPr>
              <w:pStyle w:val="17"/>
              <w:rPr>
                <w:rFonts w:hint="eastAsia" w:ascii="Times New Roman" w:hAnsi="Times New Roman"/>
                <w:highlight w:val="none"/>
                <w:lang w:val="en-US" w:eastAsia="zh-CN"/>
              </w:rPr>
            </w:pPr>
            <w:r>
              <w:rPr>
                <w:rFonts w:hint="eastAsia" w:ascii="Times New Roman" w:hAnsi="Times New Roman"/>
                <w:highlight w:val="none"/>
                <w:lang w:val="en-US" w:eastAsia="zh-CN"/>
              </w:rPr>
              <w:t>6</w:t>
            </w:r>
          </w:p>
        </w:tc>
      </w:tr>
      <w:tr>
        <w:tblPrEx>
          <w:tblCellMar>
            <w:top w:w="0" w:type="dxa"/>
            <w:left w:w="108" w:type="dxa"/>
            <w:bottom w:w="0" w:type="dxa"/>
            <w:right w:w="108" w:type="dxa"/>
          </w:tblCellMar>
        </w:tblPrEx>
        <w:trPr>
          <w:trHeight w:val="567" w:hRule="atLeast"/>
          <w:jc w:val="center"/>
        </w:trPr>
        <w:tc>
          <w:tcPr>
            <w:tcW w:w="772" w:type="pct"/>
            <w:vMerge w:val="restart"/>
            <w:tcBorders>
              <w:left w:val="single" w:color="auto" w:sz="4" w:space="0"/>
              <w:right w:val="single" w:color="auto" w:sz="4" w:space="0"/>
            </w:tcBorders>
            <w:vAlign w:val="center"/>
          </w:tcPr>
          <w:p>
            <w:pPr>
              <w:pStyle w:val="17"/>
              <w:rPr>
                <w:rFonts w:hint="default"/>
                <w:highlight w:val="none"/>
                <w:lang w:val="en-US" w:eastAsia="zh-CN"/>
              </w:rPr>
            </w:pPr>
            <w:r>
              <w:rPr>
                <w:rFonts w:hint="eastAsia"/>
                <w:highlight w:val="none"/>
                <w:lang w:val="en-US" w:eastAsia="zh-CN"/>
              </w:rPr>
              <w:t>效益指标</w:t>
            </w:r>
          </w:p>
        </w:tc>
        <w:tc>
          <w:tcPr>
            <w:tcW w:w="949" w:type="pct"/>
            <w:vMerge w:val="restart"/>
            <w:tcBorders>
              <w:top w:val="single" w:color="auto" w:sz="4" w:space="0"/>
              <w:left w:val="single" w:color="auto" w:sz="4" w:space="0"/>
              <w:right w:val="single" w:color="auto" w:sz="4" w:space="0"/>
            </w:tcBorders>
            <w:vAlign w:val="center"/>
          </w:tcPr>
          <w:p>
            <w:pPr>
              <w:pStyle w:val="17"/>
              <w:rPr>
                <w:rFonts w:hint="eastAsia" w:eastAsia="仿宋"/>
                <w:highlight w:val="none"/>
                <w:lang w:val="en-US" w:eastAsia="zh-CN"/>
              </w:rPr>
            </w:pPr>
            <w:r>
              <w:rPr>
                <w:rFonts w:hint="eastAsia"/>
                <w:highlight w:val="none"/>
                <w:lang w:val="en-US" w:eastAsia="zh-CN"/>
              </w:rPr>
              <w:t>社会效益指标</w:t>
            </w:r>
          </w:p>
        </w:tc>
        <w:tc>
          <w:tcPr>
            <w:tcW w:w="1612" w:type="pct"/>
            <w:tcBorders>
              <w:top w:val="single" w:color="auto" w:sz="4" w:space="0"/>
              <w:left w:val="nil"/>
              <w:bottom w:val="single" w:color="auto" w:sz="4" w:space="0"/>
              <w:right w:val="single" w:color="auto" w:sz="4" w:space="0"/>
            </w:tcBorders>
            <w:shd w:val="clear" w:color="auto" w:fill="auto"/>
            <w:vAlign w:val="center"/>
          </w:tcPr>
          <w:p>
            <w:pPr>
              <w:pStyle w:val="17"/>
              <w:rPr>
                <w:rFonts w:hint="eastAsia" w:ascii="Times New Roman" w:hAnsi="Times New Roman"/>
                <w:highlight w:val="none"/>
                <w:lang w:val="en-US" w:eastAsia="zh-CN"/>
              </w:rPr>
            </w:pPr>
            <w:r>
              <w:rPr>
                <w:rFonts w:hint="eastAsia" w:ascii="Times New Roman" w:hAnsi="Times New Roman"/>
                <w:highlight w:val="none"/>
                <w:lang w:val="en-US" w:eastAsia="zh-CN"/>
              </w:rPr>
              <w:t>关心归侨侨眷中的困难群体，动员各方力量扶贫济困，帮助解决实际困难。</w:t>
            </w:r>
          </w:p>
        </w:tc>
        <w:tc>
          <w:tcPr>
            <w:tcW w:w="1439" w:type="dxa"/>
            <w:tcBorders>
              <w:top w:val="single" w:color="auto" w:sz="4" w:space="0"/>
              <w:left w:val="single" w:color="000000" w:sz="4" w:space="0"/>
              <w:bottom w:val="single" w:color="000000" w:sz="4" w:space="0"/>
              <w:right w:val="single" w:color="000000" w:sz="4" w:space="0"/>
            </w:tcBorders>
            <w:shd w:val="clear" w:color="auto" w:fill="auto"/>
            <w:vAlign w:val="center"/>
          </w:tcPr>
          <w:p>
            <w:pPr>
              <w:pStyle w:val="17"/>
              <w:rPr>
                <w:rFonts w:hint="eastAsia" w:ascii="Times New Roman" w:hAnsi="Times New Roman"/>
                <w:highlight w:val="none"/>
                <w:lang w:val="en-US" w:eastAsia="zh-CN"/>
              </w:rPr>
            </w:pPr>
            <w:r>
              <w:rPr>
                <w:rFonts w:hint="eastAsia" w:ascii="Times New Roman" w:hAnsi="Times New Roman"/>
                <w:highlight w:val="none"/>
                <w:lang w:val="en-US" w:eastAsia="zh-CN"/>
              </w:rPr>
              <w:t>10</w:t>
            </w:r>
          </w:p>
        </w:tc>
        <w:tc>
          <w:tcPr>
            <w:tcW w:w="1373" w:type="dxa"/>
            <w:tcBorders>
              <w:top w:val="single" w:color="auto" w:sz="4" w:space="0"/>
              <w:left w:val="single" w:color="000000" w:sz="4" w:space="0"/>
              <w:bottom w:val="single" w:color="000000" w:sz="4" w:space="0"/>
              <w:right w:val="single" w:color="000000" w:sz="4" w:space="0"/>
            </w:tcBorders>
            <w:shd w:val="clear" w:color="auto" w:fill="auto"/>
            <w:vAlign w:val="center"/>
          </w:tcPr>
          <w:p>
            <w:pPr>
              <w:pStyle w:val="17"/>
              <w:rPr>
                <w:rFonts w:hint="eastAsia" w:ascii="Times New Roman" w:hAnsi="Times New Roman"/>
                <w:highlight w:val="none"/>
                <w:lang w:val="en-US" w:eastAsia="zh-CN"/>
              </w:rPr>
            </w:pPr>
            <w:r>
              <w:rPr>
                <w:rFonts w:hint="eastAsia" w:ascii="Times New Roman" w:hAnsi="Times New Roman"/>
                <w:highlight w:val="none"/>
                <w:lang w:val="en-US" w:eastAsia="zh-CN"/>
              </w:rPr>
              <w:t>8</w:t>
            </w:r>
          </w:p>
        </w:tc>
      </w:tr>
      <w:tr>
        <w:tblPrEx>
          <w:tblCellMar>
            <w:top w:w="0" w:type="dxa"/>
            <w:left w:w="108" w:type="dxa"/>
            <w:bottom w:w="0" w:type="dxa"/>
            <w:right w:w="108" w:type="dxa"/>
          </w:tblCellMar>
        </w:tblPrEx>
        <w:trPr>
          <w:trHeight w:val="567" w:hRule="atLeast"/>
          <w:jc w:val="center"/>
        </w:trPr>
        <w:tc>
          <w:tcPr>
            <w:tcW w:w="772" w:type="pct"/>
            <w:vMerge w:val="continue"/>
            <w:tcBorders>
              <w:left w:val="single" w:color="auto" w:sz="4" w:space="0"/>
              <w:right w:val="single" w:color="auto" w:sz="4" w:space="0"/>
            </w:tcBorders>
            <w:vAlign w:val="center"/>
          </w:tcPr>
          <w:p>
            <w:pPr>
              <w:pStyle w:val="17"/>
              <w:rPr>
                <w:rFonts w:hint="eastAsia"/>
                <w:highlight w:val="none"/>
                <w:lang w:val="en-US" w:eastAsia="zh-CN"/>
              </w:rPr>
            </w:pPr>
          </w:p>
        </w:tc>
        <w:tc>
          <w:tcPr>
            <w:tcW w:w="949" w:type="pct"/>
            <w:vMerge w:val="continue"/>
            <w:tcBorders>
              <w:left w:val="single" w:color="auto" w:sz="4" w:space="0"/>
              <w:bottom w:val="single" w:color="auto" w:sz="4" w:space="0"/>
              <w:right w:val="single" w:color="auto" w:sz="4" w:space="0"/>
            </w:tcBorders>
            <w:vAlign w:val="center"/>
          </w:tcPr>
          <w:p>
            <w:pPr>
              <w:pStyle w:val="17"/>
              <w:rPr>
                <w:rFonts w:hint="eastAsia"/>
                <w:highlight w:val="none"/>
              </w:rPr>
            </w:pPr>
          </w:p>
        </w:tc>
        <w:tc>
          <w:tcPr>
            <w:tcW w:w="1612" w:type="pct"/>
            <w:tcBorders>
              <w:top w:val="single" w:color="auto" w:sz="4" w:space="0"/>
              <w:left w:val="nil"/>
              <w:bottom w:val="single" w:color="auto" w:sz="4" w:space="0"/>
              <w:right w:val="single" w:color="auto" w:sz="4" w:space="0"/>
            </w:tcBorders>
            <w:shd w:val="clear" w:color="auto" w:fill="auto"/>
            <w:vAlign w:val="center"/>
          </w:tcPr>
          <w:p>
            <w:pPr>
              <w:pStyle w:val="17"/>
              <w:rPr>
                <w:rFonts w:hint="eastAsia" w:ascii="Times New Roman" w:hAnsi="Times New Roman"/>
                <w:highlight w:val="none"/>
                <w:lang w:val="en-US" w:eastAsia="zh-CN"/>
              </w:rPr>
            </w:pPr>
            <w:r>
              <w:rPr>
                <w:rFonts w:hint="eastAsia" w:ascii="Times New Roman" w:hAnsi="Times New Roman"/>
                <w:highlight w:val="none"/>
                <w:lang w:val="en-US" w:eastAsia="zh-CN"/>
              </w:rPr>
              <w:t>充分调动广大归侨侨眷的积极性，凝聚侨心、集聚侨力，为三门峡市经济发展做贡献</w:t>
            </w:r>
          </w:p>
        </w:tc>
        <w:tc>
          <w:tcPr>
            <w:tcW w:w="1439" w:type="dxa"/>
            <w:tcBorders>
              <w:top w:val="single" w:color="auto" w:sz="4" w:space="0"/>
              <w:left w:val="single" w:color="000000" w:sz="4" w:space="0"/>
              <w:bottom w:val="single" w:color="000000" w:sz="4" w:space="0"/>
              <w:right w:val="single" w:color="000000" w:sz="4" w:space="0"/>
            </w:tcBorders>
            <w:shd w:val="clear" w:color="auto" w:fill="auto"/>
            <w:vAlign w:val="center"/>
          </w:tcPr>
          <w:p>
            <w:pPr>
              <w:pStyle w:val="17"/>
              <w:rPr>
                <w:rFonts w:hint="eastAsia" w:ascii="Times New Roman" w:hAnsi="Times New Roman"/>
                <w:highlight w:val="none"/>
                <w:lang w:val="en-US" w:eastAsia="zh-CN"/>
              </w:rPr>
            </w:pPr>
            <w:r>
              <w:rPr>
                <w:rFonts w:hint="eastAsia" w:ascii="Times New Roman" w:hAnsi="Times New Roman"/>
                <w:highlight w:val="none"/>
                <w:lang w:val="en-US" w:eastAsia="zh-CN"/>
              </w:rPr>
              <w:t>10</w:t>
            </w:r>
          </w:p>
        </w:tc>
        <w:tc>
          <w:tcPr>
            <w:tcW w:w="1373" w:type="dxa"/>
            <w:tcBorders>
              <w:top w:val="single" w:color="auto" w:sz="4" w:space="0"/>
              <w:left w:val="single" w:color="000000" w:sz="4" w:space="0"/>
              <w:bottom w:val="single" w:color="000000" w:sz="4" w:space="0"/>
              <w:right w:val="single" w:color="000000" w:sz="4" w:space="0"/>
            </w:tcBorders>
            <w:shd w:val="clear" w:color="auto" w:fill="auto"/>
            <w:vAlign w:val="center"/>
          </w:tcPr>
          <w:p>
            <w:pPr>
              <w:pStyle w:val="17"/>
              <w:rPr>
                <w:rFonts w:hint="eastAsia" w:ascii="Times New Roman" w:hAnsi="Times New Roman"/>
                <w:highlight w:val="none"/>
                <w:lang w:val="en-US" w:eastAsia="zh-CN"/>
              </w:rPr>
            </w:pPr>
            <w:r>
              <w:rPr>
                <w:rFonts w:hint="eastAsia" w:ascii="Times New Roman" w:hAnsi="Times New Roman"/>
                <w:highlight w:val="none"/>
                <w:lang w:val="en-US" w:eastAsia="zh-CN"/>
              </w:rPr>
              <w:t>8</w:t>
            </w:r>
          </w:p>
        </w:tc>
      </w:tr>
      <w:tr>
        <w:tblPrEx>
          <w:tblCellMar>
            <w:top w:w="0" w:type="dxa"/>
            <w:left w:w="108" w:type="dxa"/>
            <w:bottom w:w="0" w:type="dxa"/>
            <w:right w:w="108" w:type="dxa"/>
          </w:tblCellMar>
        </w:tblPrEx>
        <w:trPr>
          <w:trHeight w:val="567" w:hRule="atLeast"/>
          <w:jc w:val="center"/>
        </w:trPr>
        <w:tc>
          <w:tcPr>
            <w:tcW w:w="772" w:type="pct"/>
            <w:vMerge w:val="continue"/>
            <w:tcBorders>
              <w:left w:val="single" w:color="auto" w:sz="4" w:space="0"/>
              <w:bottom w:val="single" w:color="000000" w:sz="4" w:space="0"/>
              <w:right w:val="single" w:color="auto" w:sz="4" w:space="0"/>
            </w:tcBorders>
            <w:vAlign w:val="center"/>
          </w:tcPr>
          <w:p>
            <w:pPr>
              <w:pStyle w:val="17"/>
              <w:rPr>
                <w:rFonts w:hint="eastAsia"/>
                <w:highlight w:val="none"/>
                <w:lang w:val="en-US" w:eastAsia="zh-CN"/>
              </w:rPr>
            </w:pPr>
          </w:p>
        </w:tc>
        <w:tc>
          <w:tcPr>
            <w:tcW w:w="949" w:type="pct"/>
            <w:tcBorders>
              <w:top w:val="single" w:color="auto" w:sz="4" w:space="0"/>
              <w:left w:val="single" w:color="auto" w:sz="4" w:space="0"/>
              <w:bottom w:val="single" w:color="auto" w:sz="4" w:space="0"/>
              <w:right w:val="single" w:color="auto" w:sz="4" w:space="0"/>
            </w:tcBorders>
            <w:vAlign w:val="center"/>
          </w:tcPr>
          <w:p>
            <w:pPr>
              <w:pStyle w:val="17"/>
              <w:rPr>
                <w:rFonts w:hint="eastAsia" w:eastAsia="仿宋"/>
                <w:highlight w:val="none"/>
                <w:lang w:val="en-US" w:eastAsia="zh-CN"/>
              </w:rPr>
            </w:pPr>
            <w:r>
              <w:rPr>
                <w:rFonts w:hint="eastAsia"/>
                <w:highlight w:val="none"/>
                <w:lang w:val="en-US" w:eastAsia="zh-CN"/>
              </w:rPr>
              <w:t>可持续影响指标</w:t>
            </w:r>
          </w:p>
        </w:tc>
        <w:tc>
          <w:tcPr>
            <w:tcW w:w="1612" w:type="pct"/>
            <w:tcBorders>
              <w:top w:val="single" w:color="auto" w:sz="4" w:space="0"/>
              <w:left w:val="nil"/>
              <w:bottom w:val="single" w:color="auto" w:sz="4" w:space="0"/>
              <w:right w:val="single" w:color="auto" w:sz="4" w:space="0"/>
            </w:tcBorders>
            <w:shd w:val="clear" w:color="auto" w:fill="auto"/>
            <w:vAlign w:val="center"/>
          </w:tcPr>
          <w:p>
            <w:pPr>
              <w:pStyle w:val="17"/>
              <w:rPr>
                <w:rFonts w:hint="eastAsia" w:ascii="Times New Roman" w:hAnsi="Times New Roman"/>
                <w:highlight w:val="none"/>
                <w:lang w:val="en-US" w:eastAsia="zh-CN"/>
              </w:rPr>
            </w:pPr>
            <w:r>
              <w:rPr>
                <w:rFonts w:hint="eastAsia" w:ascii="Times New Roman" w:hAnsi="Times New Roman"/>
                <w:highlight w:val="none"/>
                <w:lang w:val="en-US" w:eastAsia="zh-CN"/>
              </w:rPr>
              <w:t>持续保持归侨侨眷和海外侨胞凝聚力</w:t>
            </w:r>
          </w:p>
        </w:tc>
        <w:tc>
          <w:tcPr>
            <w:tcW w:w="1439" w:type="dxa"/>
            <w:tcBorders>
              <w:top w:val="single" w:color="auto" w:sz="4" w:space="0"/>
              <w:left w:val="single" w:color="000000" w:sz="4" w:space="0"/>
              <w:bottom w:val="single" w:color="000000" w:sz="4" w:space="0"/>
              <w:right w:val="single" w:color="000000" w:sz="4" w:space="0"/>
            </w:tcBorders>
            <w:shd w:val="clear" w:color="auto" w:fill="auto"/>
            <w:vAlign w:val="center"/>
          </w:tcPr>
          <w:p>
            <w:pPr>
              <w:pStyle w:val="17"/>
              <w:rPr>
                <w:rFonts w:hint="eastAsia" w:ascii="Times New Roman" w:hAnsi="Times New Roman"/>
                <w:highlight w:val="none"/>
                <w:lang w:val="en-US" w:eastAsia="zh-CN"/>
              </w:rPr>
            </w:pPr>
            <w:r>
              <w:rPr>
                <w:rFonts w:hint="eastAsia" w:ascii="Times New Roman" w:hAnsi="Times New Roman"/>
                <w:highlight w:val="none"/>
                <w:lang w:val="en-US" w:eastAsia="zh-CN"/>
              </w:rPr>
              <w:t>10</w:t>
            </w:r>
          </w:p>
        </w:tc>
        <w:tc>
          <w:tcPr>
            <w:tcW w:w="1373" w:type="dxa"/>
            <w:tcBorders>
              <w:top w:val="single" w:color="auto" w:sz="4" w:space="0"/>
              <w:left w:val="single" w:color="000000" w:sz="4" w:space="0"/>
              <w:bottom w:val="single" w:color="000000" w:sz="4" w:space="0"/>
              <w:right w:val="single" w:color="000000" w:sz="4" w:space="0"/>
            </w:tcBorders>
            <w:shd w:val="clear" w:color="auto" w:fill="auto"/>
            <w:vAlign w:val="center"/>
          </w:tcPr>
          <w:p>
            <w:pPr>
              <w:pStyle w:val="17"/>
              <w:rPr>
                <w:rFonts w:hint="eastAsia" w:ascii="Times New Roman" w:hAnsi="Times New Roman"/>
                <w:highlight w:val="none"/>
                <w:lang w:val="en-US" w:eastAsia="zh-CN"/>
              </w:rPr>
            </w:pPr>
            <w:r>
              <w:rPr>
                <w:rFonts w:hint="eastAsia" w:ascii="Times New Roman" w:hAnsi="Times New Roman"/>
                <w:highlight w:val="none"/>
                <w:lang w:val="en-US" w:eastAsia="zh-CN"/>
              </w:rPr>
              <w:t>10</w:t>
            </w:r>
          </w:p>
        </w:tc>
      </w:tr>
      <w:tr>
        <w:tblPrEx>
          <w:tblCellMar>
            <w:top w:w="0" w:type="dxa"/>
            <w:left w:w="108" w:type="dxa"/>
            <w:bottom w:w="0" w:type="dxa"/>
            <w:right w:w="108" w:type="dxa"/>
          </w:tblCellMar>
        </w:tblPrEx>
        <w:trPr>
          <w:trHeight w:val="567" w:hRule="atLeast"/>
          <w:jc w:val="center"/>
        </w:trPr>
        <w:tc>
          <w:tcPr>
            <w:tcW w:w="772" w:type="pct"/>
            <w:tcBorders>
              <w:top w:val="single" w:color="auto" w:sz="4" w:space="0"/>
              <w:left w:val="single" w:color="auto" w:sz="4" w:space="0"/>
              <w:bottom w:val="single" w:color="auto" w:sz="4" w:space="0"/>
              <w:right w:val="single" w:color="auto" w:sz="4" w:space="0"/>
            </w:tcBorders>
            <w:shd w:val="clear" w:color="auto" w:fill="auto"/>
            <w:noWrap/>
            <w:vAlign w:val="center"/>
          </w:tcPr>
          <w:p>
            <w:pPr>
              <w:pStyle w:val="17"/>
              <w:rPr>
                <w:highlight w:val="none"/>
              </w:rPr>
            </w:pPr>
            <w:r>
              <w:rPr>
                <w:rFonts w:hint="eastAsia"/>
                <w:highlight w:val="none"/>
              </w:rPr>
              <w:t>满意度</w:t>
            </w:r>
          </w:p>
          <w:p>
            <w:pPr>
              <w:pStyle w:val="17"/>
              <w:rPr>
                <w:highlight w:val="none"/>
              </w:rPr>
            </w:pPr>
            <w:r>
              <w:rPr>
                <w:rFonts w:hint="eastAsia"/>
                <w:highlight w:val="none"/>
              </w:rPr>
              <w:t>指标</w:t>
            </w:r>
          </w:p>
        </w:tc>
        <w:tc>
          <w:tcPr>
            <w:tcW w:w="949" w:type="pct"/>
            <w:tcBorders>
              <w:top w:val="single" w:color="auto" w:sz="4" w:space="0"/>
              <w:left w:val="nil"/>
              <w:bottom w:val="single" w:color="auto" w:sz="4" w:space="0"/>
              <w:right w:val="single" w:color="auto" w:sz="4" w:space="0"/>
            </w:tcBorders>
            <w:shd w:val="clear" w:color="auto" w:fill="auto"/>
            <w:noWrap/>
            <w:vAlign w:val="center"/>
          </w:tcPr>
          <w:p>
            <w:pPr>
              <w:pStyle w:val="17"/>
              <w:rPr>
                <w:highlight w:val="none"/>
              </w:rPr>
            </w:pPr>
            <w:r>
              <w:rPr>
                <w:rFonts w:hint="eastAsia"/>
                <w:highlight w:val="none"/>
              </w:rPr>
              <w:t>服务对象满意度指标</w:t>
            </w:r>
          </w:p>
        </w:tc>
        <w:tc>
          <w:tcPr>
            <w:tcW w:w="1612" w:type="pct"/>
            <w:tcBorders>
              <w:top w:val="single" w:color="auto" w:sz="4" w:space="0"/>
              <w:left w:val="nil"/>
              <w:bottom w:val="single" w:color="auto" w:sz="4" w:space="0"/>
              <w:right w:val="single" w:color="auto" w:sz="4" w:space="0"/>
            </w:tcBorders>
            <w:shd w:val="clear" w:color="auto" w:fill="auto"/>
            <w:noWrap/>
            <w:vAlign w:val="center"/>
          </w:tcPr>
          <w:p>
            <w:pPr>
              <w:pStyle w:val="17"/>
              <w:rPr>
                <w:rFonts w:hint="eastAsia" w:ascii="Times New Roman" w:hAnsi="Times New Roman"/>
                <w:highlight w:val="none"/>
              </w:rPr>
            </w:pPr>
            <w:r>
              <w:rPr>
                <w:rFonts w:hint="eastAsia" w:ascii="Times New Roman" w:hAnsi="Times New Roman"/>
                <w:highlight w:val="none"/>
              </w:rPr>
              <w:t>归侨侨眷满意度</w:t>
            </w:r>
          </w:p>
        </w:tc>
        <w:tc>
          <w:tcPr>
            <w:tcW w:w="852" w:type="pct"/>
            <w:tcBorders>
              <w:top w:val="single" w:color="auto" w:sz="4" w:space="0"/>
              <w:left w:val="single" w:color="000000" w:sz="4" w:space="0"/>
              <w:bottom w:val="single" w:color="auto" w:sz="4" w:space="0"/>
              <w:right w:val="single" w:color="000000" w:sz="4" w:space="0"/>
            </w:tcBorders>
            <w:shd w:val="clear" w:color="auto" w:fill="auto"/>
            <w:noWrap/>
            <w:vAlign w:val="center"/>
          </w:tcPr>
          <w:p>
            <w:pPr>
              <w:pStyle w:val="17"/>
              <w:rPr>
                <w:rFonts w:hint="default" w:eastAsia="仿宋"/>
                <w:highlight w:val="none"/>
                <w:lang w:val="en-US" w:eastAsia="zh-CN"/>
              </w:rPr>
            </w:pPr>
            <w:r>
              <w:rPr>
                <w:rFonts w:hint="eastAsia"/>
                <w:highlight w:val="none"/>
                <w:lang w:val="en-US" w:eastAsia="zh-CN"/>
              </w:rPr>
              <w:t>10</w:t>
            </w:r>
          </w:p>
        </w:tc>
        <w:tc>
          <w:tcPr>
            <w:tcW w:w="8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rPr>
                <w:rFonts w:hint="default" w:eastAsia="仿宋"/>
                <w:highlight w:val="none"/>
                <w:lang w:val="en-US" w:eastAsia="zh-CN"/>
              </w:rPr>
            </w:pPr>
            <w:r>
              <w:rPr>
                <w:rFonts w:hint="eastAsia"/>
                <w:highlight w:val="none"/>
                <w:lang w:val="en-US" w:eastAsia="zh-CN"/>
              </w:rPr>
              <w:t>10</w:t>
            </w:r>
          </w:p>
        </w:tc>
      </w:tr>
      <w:tr>
        <w:tblPrEx>
          <w:tblCellMar>
            <w:top w:w="0" w:type="dxa"/>
            <w:left w:w="108" w:type="dxa"/>
            <w:bottom w:w="0" w:type="dxa"/>
            <w:right w:w="108" w:type="dxa"/>
          </w:tblCellMar>
        </w:tblPrEx>
        <w:trPr>
          <w:trHeight w:val="467" w:hRule="atLeast"/>
          <w:jc w:val="center"/>
        </w:trPr>
        <w:tc>
          <w:tcPr>
            <w:tcW w:w="3334"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pStyle w:val="17"/>
              <w:rPr>
                <w:highlight w:val="none"/>
              </w:rPr>
            </w:pPr>
            <w:r>
              <w:rPr>
                <w:rFonts w:hint="eastAsia"/>
                <w:highlight w:val="none"/>
              </w:rPr>
              <w:t>总分</w:t>
            </w:r>
          </w:p>
        </w:tc>
        <w:tc>
          <w:tcPr>
            <w:tcW w:w="852" w:type="pct"/>
            <w:tcBorders>
              <w:top w:val="single" w:color="auto" w:sz="4" w:space="0"/>
              <w:left w:val="nil"/>
              <w:bottom w:val="single" w:color="auto" w:sz="4" w:space="0"/>
              <w:right w:val="single" w:color="auto" w:sz="4" w:space="0"/>
            </w:tcBorders>
            <w:shd w:val="clear" w:color="auto" w:fill="auto"/>
            <w:noWrap/>
            <w:vAlign w:val="center"/>
          </w:tcPr>
          <w:p>
            <w:pPr>
              <w:pStyle w:val="17"/>
              <w:rPr>
                <w:highlight w:val="none"/>
              </w:rPr>
            </w:pPr>
            <w:r>
              <w:rPr>
                <w:rFonts w:hint="eastAsia"/>
                <w:highlight w:val="none"/>
              </w:rPr>
              <w:t>1</w:t>
            </w:r>
            <w:r>
              <w:rPr>
                <w:highlight w:val="none"/>
              </w:rPr>
              <w:t>00</w:t>
            </w:r>
          </w:p>
        </w:tc>
        <w:tc>
          <w:tcPr>
            <w:tcW w:w="813" w:type="pct"/>
            <w:tcBorders>
              <w:top w:val="single" w:color="auto" w:sz="4" w:space="0"/>
              <w:left w:val="nil"/>
              <w:bottom w:val="single" w:color="auto" w:sz="4" w:space="0"/>
              <w:right w:val="single" w:color="auto" w:sz="4" w:space="0"/>
            </w:tcBorders>
            <w:shd w:val="clear" w:color="auto" w:fill="auto"/>
            <w:noWrap/>
            <w:vAlign w:val="center"/>
          </w:tcPr>
          <w:p>
            <w:pPr>
              <w:pStyle w:val="17"/>
              <w:rPr>
                <w:rFonts w:hint="default" w:eastAsia="仿宋"/>
                <w:highlight w:val="none"/>
                <w:lang w:val="en-US" w:eastAsia="zh-CN"/>
              </w:rPr>
            </w:pPr>
            <w:r>
              <w:rPr>
                <w:rFonts w:hint="eastAsia"/>
                <w:highlight w:val="none"/>
                <w:lang w:val="en-US" w:eastAsia="zh-CN"/>
              </w:rPr>
              <w:t>96</w:t>
            </w:r>
          </w:p>
        </w:tc>
      </w:tr>
    </w:tbl>
    <w:p>
      <w:pPr>
        <w:pStyle w:val="4"/>
      </w:pPr>
      <w:bookmarkStart w:id="42" w:name="_Toc25168"/>
      <w:bookmarkStart w:id="43" w:name="_Toc31442"/>
      <w:bookmarkStart w:id="44" w:name="_Toc79333445"/>
      <w:r>
        <w:rPr>
          <w:rFonts w:hint="eastAsia"/>
        </w:rPr>
        <w:t>（二）自评指标分析</w:t>
      </w:r>
      <w:bookmarkEnd w:id="42"/>
      <w:bookmarkEnd w:id="43"/>
      <w:bookmarkEnd w:id="44"/>
    </w:p>
    <w:p>
      <w:pPr>
        <w:pStyle w:val="5"/>
        <w:ind w:firstLine="643"/>
      </w:pPr>
      <w:bookmarkStart w:id="45" w:name="_Toc79333446"/>
      <w:bookmarkStart w:id="46" w:name="_Toc9747"/>
      <w:r>
        <w:rPr>
          <w:rFonts w:hint="eastAsia"/>
        </w:rPr>
        <w:t>1、预算执行指标分析</w:t>
      </w:r>
      <w:bookmarkEnd w:id="45"/>
      <w:bookmarkEnd w:id="46"/>
    </w:p>
    <w:p>
      <w:pPr>
        <w:ind w:firstLine="640"/>
        <w:rPr>
          <w:highlight w:val="none"/>
        </w:rPr>
      </w:pPr>
      <w:r>
        <w:rPr>
          <w:rFonts w:hint="eastAsia"/>
        </w:rPr>
        <w:t>一级指标“预算执行”下设一个二级指标和一个三级指标，均为“预算执行率”，该指标标准分值</w:t>
      </w:r>
      <w:r>
        <w:t>10</w:t>
      </w:r>
      <w:r>
        <w:rPr>
          <w:highlight w:val="none"/>
        </w:rPr>
        <w:t>分，实际得分</w:t>
      </w:r>
      <w:r>
        <w:rPr>
          <w:rFonts w:hint="eastAsia"/>
          <w:highlight w:val="none"/>
          <w:lang w:val="en-US" w:eastAsia="zh-CN"/>
        </w:rPr>
        <w:t>10</w:t>
      </w:r>
      <w:r>
        <w:rPr>
          <w:rFonts w:hint="eastAsia"/>
          <w:highlight w:val="none"/>
        </w:rPr>
        <w:t>分。</w:t>
      </w:r>
    </w:p>
    <w:p>
      <w:pPr>
        <w:ind w:firstLine="640"/>
      </w:pPr>
      <w:r>
        <w:rPr>
          <w:rFonts w:hint="eastAsia"/>
          <w:highlight w:val="none"/>
        </w:rPr>
        <w:t>项目全年预算资金为</w:t>
      </w:r>
      <w:r>
        <w:rPr>
          <w:rFonts w:hint="eastAsia"/>
          <w:highlight w:val="none"/>
          <w:lang w:val="en-US" w:eastAsia="zh-CN"/>
        </w:rPr>
        <w:t>10</w:t>
      </w:r>
      <w:r>
        <w:rPr>
          <w:rFonts w:hint="eastAsia"/>
          <w:highlight w:val="none"/>
        </w:rPr>
        <w:t>万元，全年执行数为</w:t>
      </w:r>
      <w:r>
        <w:rPr>
          <w:rFonts w:hint="eastAsia"/>
          <w:highlight w:val="none"/>
          <w:lang w:val="en-US" w:eastAsia="zh-CN"/>
        </w:rPr>
        <w:t>10</w:t>
      </w:r>
      <w:r>
        <w:rPr>
          <w:rFonts w:hint="eastAsia"/>
          <w:highlight w:val="none"/>
        </w:rPr>
        <w:t>万元，预算执行率</w:t>
      </w:r>
      <w:r>
        <w:rPr>
          <w:rFonts w:hint="eastAsia"/>
          <w:highlight w:val="none"/>
          <w:lang w:val="en-US" w:eastAsia="zh-CN"/>
        </w:rPr>
        <w:t>100</w:t>
      </w:r>
      <w:r>
        <w:rPr>
          <w:highlight w:val="none"/>
        </w:rPr>
        <w:t>%，根据评分标准，预算执行率得分</w:t>
      </w:r>
      <w:r>
        <w:rPr>
          <w:rFonts w:hint="eastAsia"/>
          <w:highlight w:val="none"/>
          <w:lang w:val="en-US" w:eastAsia="zh-CN"/>
        </w:rPr>
        <w:t>10</w:t>
      </w:r>
      <w:r>
        <w:rPr>
          <w:rFonts w:hint="eastAsia"/>
          <w:highlight w:val="none"/>
        </w:rPr>
        <w:t>分。</w:t>
      </w:r>
    </w:p>
    <w:p>
      <w:pPr>
        <w:pStyle w:val="5"/>
        <w:ind w:firstLine="643"/>
      </w:pPr>
      <w:bookmarkStart w:id="47" w:name="_Toc79333447"/>
      <w:r>
        <w:rPr>
          <w:rFonts w:hint="eastAsia"/>
        </w:rPr>
        <w:t>2、产出指标分析</w:t>
      </w:r>
      <w:bookmarkEnd w:id="47"/>
    </w:p>
    <w:p>
      <w:pPr>
        <w:ind w:firstLine="640"/>
        <w:rPr>
          <w:rFonts w:hint="eastAsia"/>
        </w:rPr>
      </w:pPr>
      <w:r>
        <w:rPr>
          <w:rFonts w:hint="eastAsia"/>
        </w:rPr>
        <w:t>一级指标“产出指标”下设四个二级指标分别是：“数量指标”、“质量指标”、“时效指标”和“成本指标”。</w:t>
      </w:r>
    </w:p>
    <w:p>
      <w:pPr>
        <w:ind w:firstLine="640"/>
        <w:rPr>
          <w:rFonts w:hint="eastAsia"/>
        </w:rPr>
      </w:pPr>
      <w:r>
        <w:rPr>
          <w:rFonts w:hint="eastAsia"/>
        </w:rPr>
        <w:t>（1）数量指标</w:t>
      </w:r>
    </w:p>
    <w:p>
      <w:pPr>
        <w:ind w:firstLine="640"/>
        <w:rPr>
          <w:rFonts w:hint="eastAsia"/>
          <w:highlight w:val="none"/>
        </w:rPr>
      </w:pPr>
      <w:r>
        <w:rPr>
          <w:rFonts w:hint="eastAsia"/>
          <w:highlight w:val="none"/>
        </w:rPr>
        <w:t>“数量指标”下设四个三级指标“举办联谊会次数”、“慰问次数”、“慰问人数”和“召开会议次数”。</w:t>
      </w:r>
    </w:p>
    <w:p>
      <w:pPr>
        <w:ind w:firstLine="640"/>
        <w:rPr>
          <w:rFonts w:hint="eastAsia"/>
          <w:highlight w:val="none"/>
        </w:rPr>
      </w:pPr>
      <w:r>
        <w:rPr>
          <w:rFonts w:hint="eastAsia"/>
          <w:highlight w:val="none"/>
        </w:rPr>
        <w:t>截止2021年12月31日，三门峡市侨联系统共计开展活动15个场次，300多名侨界干部群众热情参与，用激昂深情的歌声表达对中国共产党百年华诞的的美好祝福，讴歌伟大的中国共产党带领海内外中华儿女走过的百年波澜壮阔奋斗历程，抒发广大归侨侨眷和海外侨胞“侨心向党”的真挚情感，进一步筑牢侨心向党的思想基础。最终完成的视频MV在中国侨联、河南省侨联网站、微信公众号以及三门峡市主流媒体上线播出，在社会上引发强烈反响。</w:t>
      </w:r>
    </w:p>
    <w:p>
      <w:pPr>
        <w:ind w:firstLine="640"/>
        <w:rPr>
          <w:rFonts w:hint="eastAsia"/>
          <w:highlight w:val="none"/>
        </w:rPr>
      </w:pPr>
      <w:r>
        <w:rPr>
          <w:rFonts w:hint="eastAsia"/>
          <w:highlight w:val="none"/>
        </w:rPr>
        <w:t>积极开展困难（贫困）归侨侨眷和贫困侨界大学生资助工作，今年以来，我省先后遭遇洪灾和新冠肺炎疫情，包括侨界群众在内的许多家庭遭受了严重损失。根据省华侨事务专项经费预算相关要求，首先逐一核实原有侨界贫困人员，全市侨联系统结合</w:t>
      </w:r>
      <w:r>
        <w:rPr>
          <w:rFonts w:hint="eastAsia"/>
          <w:highlight w:val="none"/>
          <w:lang w:val="en-US" w:eastAsia="zh-CN"/>
        </w:rPr>
        <w:t>多次开展</w:t>
      </w:r>
      <w:r>
        <w:rPr>
          <w:rFonts w:hint="eastAsia"/>
          <w:highlight w:val="none"/>
        </w:rPr>
        <w:t>走访慰问活动，通过电话询问、实地走访、查看档案资料等形式，精确判断困难情况，认真登记个人信息，重点调整已经脱贫、实现就业和去世的人员名单，及时更新档案。</w:t>
      </w:r>
    </w:p>
    <w:p>
      <w:pPr>
        <w:pStyle w:val="2"/>
        <w:rPr>
          <w:rFonts w:hint="eastAsia"/>
        </w:rPr>
      </w:pPr>
      <w:r>
        <w:rPr>
          <w:rFonts w:hint="eastAsia" w:ascii="仿宋_GB2312" w:hAnsi="仿宋_GB2312" w:eastAsia="仿宋_GB2312" w:cs="仿宋_GB2312"/>
          <w:b w:val="0"/>
          <w:bCs w:val="0"/>
          <w:color w:val="000000"/>
          <w:sz w:val="32"/>
          <w:szCs w:val="32"/>
          <w:lang w:val="en-US" w:eastAsia="zh-CN"/>
        </w:rPr>
        <w:t>按照上级侨联组织的统一部署，我们专门下发了</w:t>
      </w:r>
      <w:r>
        <w:rPr>
          <w:rFonts w:hint="eastAsia" w:ascii="仿宋_GB2312" w:hAnsi="仿宋_GB2312" w:eastAsia="仿宋_GB2312" w:cs="仿宋_GB2312"/>
          <w:b w:val="0"/>
          <w:bCs w:val="0"/>
          <w:color w:val="000000"/>
          <w:spacing w:val="0"/>
          <w:sz w:val="32"/>
          <w:szCs w:val="32"/>
          <w:lang w:eastAsia="zh-CN"/>
        </w:rPr>
        <w:t>《</w:t>
      </w:r>
      <w:r>
        <w:rPr>
          <w:rFonts w:hint="eastAsia" w:ascii="仿宋_GB2312" w:hAnsi="仿宋_GB2312" w:eastAsia="仿宋_GB2312" w:cs="仿宋_GB2312"/>
          <w:b w:val="0"/>
          <w:bCs w:val="0"/>
          <w:color w:val="000000"/>
          <w:kern w:val="0"/>
          <w:sz w:val="32"/>
          <w:szCs w:val="32"/>
          <w:lang w:val="en-US" w:eastAsia="zh-CN"/>
        </w:rPr>
        <w:t>关于开展2021年元旦、春节期间“送温暖 献爱心”走访慰问活动的通知</w:t>
      </w:r>
      <w:r>
        <w:rPr>
          <w:rFonts w:hint="eastAsia" w:ascii="仿宋_GB2312" w:hAnsi="仿宋_GB2312" w:eastAsia="仿宋_GB2312" w:cs="仿宋_GB2312"/>
          <w:b w:val="0"/>
          <w:bCs w:val="0"/>
          <w:color w:val="000000"/>
          <w:spacing w:val="0"/>
          <w:sz w:val="32"/>
          <w:szCs w:val="32"/>
          <w:lang w:eastAsia="zh-CN"/>
        </w:rPr>
        <w:t>》</w:t>
      </w:r>
      <w:r>
        <w:rPr>
          <w:rFonts w:hint="eastAsia" w:ascii="仿宋_GB2312" w:hAnsi="仿宋_GB2312" w:eastAsia="仿宋_GB2312" w:cs="仿宋_GB2312"/>
          <w:b w:val="0"/>
          <w:bCs w:val="0"/>
          <w:color w:val="000000"/>
          <w:spacing w:val="0"/>
          <w:sz w:val="32"/>
          <w:szCs w:val="32"/>
        </w:rPr>
        <w:t>，</w:t>
      </w:r>
      <w:r>
        <w:rPr>
          <w:rFonts w:hint="eastAsia" w:ascii="仿宋_GB2312" w:hAnsi="仿宋_GB2312" w:eastAsia="仿宋_GB2312" w:cs="仿宋_GB2312"/>
          <w:b w:val="0"/>
          <w:bCs w:val="0"/>
          <w:color w:val="000000"/>
          <w:spacing w:val="0"/>
          <w:sz w:val="32"/>
          <w:szCs w:val="32"/>
          <w:lang w:val="en-US" w:eastAsia="zh-CN"/>
        </w:rPr>
        <w:t>开展</w:t>
      </w:r>
      <w:r>
        <w:rPr>
          <w:rFonts w:hint="eastAsia" w:ascii="仿宋_GB2312" w:hAnsi="仿宋_GB2312" w:eastAsia="仿宋_GB2312" w:cs="仿宋_GB2312"/>
          <w:b w:val="0"/>
          <w:bCs w:val="0"/>
          <w:color w:val="000000"/>
          <w:spacing w:val="0"/>
          <w:sz w:val="32"/>
          <w:szCs w:val="32"/>
        </w:rPr>
        <w:t>全市侨联系统双节期间慰问活动。</w:t>
      </w:r>
      <w:r>
        <w:rPr>
          <w:rFonts w:hint="eastAsia" w:ascii="仿宋_GB2312" w:hAnsi="仿宋_GB2312" w:eastAsia="仿宋_GB2312" w:cs="仿宋_GB2312"/>
          <w:b w:val="0"/>
          <w:bCs w:val="0"/>
          <w:color w:val="000000"/>
          <w:sz w:val="32"/>
          <w:szCs w:val="32"/>
          <w:lang w:val="en-US" w:eastAsia="zh-CN"/>
        </w:rPr>
        <w:t>双节期间</w:t>
      </w:r>
      <w:r>
        <w:rPr>
          <w:rFonts w:hint="eastAsia" w:ascii="仿宋_GB2312" w:hAnsi="仿宋_GB2312" w:eastAsia="仿宋_GB2312" w:cs="仿宋_GB2312"/>
          <w:b w:val="0"/>
          <w:bCs w:val="0"/>
          <w:color w:val="000000"/>
          <w:sz w:val="32"/>
          <w:szCs w:val="32"/>
          <w:lang w:eastAsia="zh-CN"/>
        </w:rPr>
        <w:t>市县两级</w:t>
      </w:r>
      <w:r>
        <w:rPr>
          <w:rFonts w:hint="eastAsia" w:ascii="仿宋_GB2312" w:hAnsi="仿宋_GB2312" w:eastAsia="仿宋_GB2312" w:cs="仿宋_GB2312"/>
          <w:b w:val="0"/>
          <w:bCs w:val="0"/>
          <w:color w:val="000000"/>
          <w:sz w:val="32"/>
          <w:szCs w:val="32"/>
          <w:lang w:val="en-US" w:eastAsia="zh-CN"/>
        </w:rPr>
        <w:t>侨联组织</w:t>
      </w:r>
      <w:r>
        <w:rPr>
          <w:rFonts w:hint="eastAsia" w:ascii="仿宋_GB2312" w:hAnsi="仿宋_GB2312" w:eastAsia="仿宋_GB2312" w:cs="仿宋_GB2312"/>
          <w:b w:val="0"/>
          <w:bCs w:val="0"/>
          <w:color w:val="000000"/>
          <w:sz w:val="32"/>
          <w:szCs w:val="32"/>
        </w:rPr>
        <w:t>共走访慰问</w:t>
      </w:r>
      <w:r>
        <w:rPr>
          <w:rFonts w:hint="eastAsia" w:ascii="仿宋_GB2312" w:hAnsi="仿宋_GB2312" w:eastAsia="仿宋_GB2312" w:cs="仿宋_GB2312"/>
          <w:b w:val="0"/>
          <w:bCs w:val="0"/>
          <w:color w:val="000000"/>
          <w:sz w:val="32"/>
          <w:szCs w:val="32"/>
          <w:highlight w:val="none"/>
        </w:rPr>
        <w:t>侨界群众</w:t>
      </w:r>
      <w:r>
        <w:rPr>
          <w:rFonts w:hint="eastAsia" w:ascii="仿宋_GB2312" w:hAnsi="仿宋_GB2312" w:eastAsia="仿宋_GB2312" w:cs="仿宋_GB2312"/>
          <w:b w:val="0"/>
          <w:bCs w:val="0"/>
          <w:color w:val="000000"/>
          <w:sz w:val="32"/>
          <w:szCs w:val="32"/>
          <w:highlight w:val="none"/>
          <w:lang w:val="en-US" w:eastAsia="zh-CN"/>
        </w:rPr>
        <w:t>166</w:t>
      </w:r>
      <w:r>
        <w:rPr>
          <w:rFonts w:hint="eastAsia" w:ascii="仿宋_GB2312" w:hAnsi="仿宋_GB2312" w:eastAsia="仿宋_GB2312" w:cs="仿宋_GB2312"/>
          <w:b w:val="0"/>
          <w:bCs w:val="0"/>
          <w:color w:val="000000"/>
          <w:sz w:val="32"/>
          <w:szCs w:val="32"/>
          <w:highlight w:val="none"/>
        </w:rPr>
        <w:t>户，</w:t>
      </w:r>
      <w:r>
        <w:rPr>
          <w:rFonts w:hint="eastAsia" w:ascii="仿宋_GB2312" w:hAnsi="仿宋_GB2312" w:eastAsia="仿宋_GB2312" w:cs="仿宋_GB2312"/>
          <w:b w:val="0"/>
          <w:bCs w:val="0"/>
          <w:color w:val="000000"/>
          <w:sz w:val="32"/>
          <w:szCs w:val="32"/>
          <w:highlight w:val="none"/>
          <w:lang w:val="en-US" w:eastAsia="zh-CN"/>
        </w:rPr>
        <w:t>近500余人，</w:t>
      </w:r>
      <w:r>
        <w:rPr>
          <w:rFonts w:hint="eastAsia" w:ascii="仿宋_GB2312" w:hAnsi="仿宋_GB2312" w:eastAsia="仿宋_GB2312" w:cs="仿宋_GB2312"/>
          <w:b w:val="0"/>
          <w:bCs w:val="0"/>
          <w:color w:val="000000"/>
          <w:sz w:val="32"/>
          <w:szCs w:val="32"/>
          <w:highlight w:val="none"/>
        </w:rPr>
        <w:t>为侨界群众送上慰问金</w:t>
      </w:r>
      <w:r>
        <w:rPr>
          <w:rFonts w:hint="eastAsia" w:ascii="仿宋_GB2312" w:hAnsi="仿宋_GB2312" w:eastAsia="仿宋_GB2312" w:cs="仿宋_GB2312"/>
          <w:b w:val="0"/>
          <w:bCs w:val="0"/>
          <w:color w:val="000000"/>
          <w:sz w:val="32"/>
          <w:szCs w:val="32"/>
          <w:highlight w:val="none"/>
          <w:lang w:eastAsia="zh-CN"/>
        </w:rPr>
        <w:t>共计</w:t>
      </w:r>
      <w:r>
        <w:rPr>
          <w:rFonts w:hint="eastAsia" w:ascii="仿宋_GB2312" w:hAnsi="仿宋_GB2312" w:eastAsia="仿宋_GB2312" w:cs="仿宋_GB2312"/>
          <w:b w:val="0"/>
          <w:bCs w:val="0"/>
          <w:color w:val="000000"/>
          <w:sz w:val="32"/>
          <w:szCs w:val="32"/>
          <w:highlight w:val="none"/>
          <w:lang w:val="en-US" w:eastAsia="zh-CN"/>
        </w:rPr>
        <w:t>32000</w:t>
      </w:r>
      <w:r>
        <w:rPr>
          <w:rFonts w:hint="eastAsia" w:ascii="仿宋_GB2312" w:hAnsi="仿宋_GB2312" w:eastAsia="仿宋_GB2312" w:cs="仿宋_GB2312"/>
          <w:b w:val="0"/>
          <w:bCs w:val="0"/>
          <w:color w:val="000000"/>
          <w:sz w:val="32"/>
          <w:szCs w:val="32"/>
          <w:highlight w:val="none"/>
        </w:rPr>
        <w:t>元，送上米面油等节日用品</w:t>
      </w:r>
      <w:r>
        <w:rPr>
          <w:rFonts w:hint="eastAsia" w:ascii="仿宋_GB2312" w:hAnsi="仿宋_GB2312" w:eastAsia="仿宋_GB2312" w:cs="仿宋_GB2312"/>
          <w:b w:val="0"/>
          <w:bCs w:val="0"/>
          <w:color w:val="000000"/>
          <w:sz w:val="32"/>
          <w:szCs w:val="32"/>
          <w:highlight w:val="none"/>
          <w:lang w:eastAsia="zh-CN"/>
        </w:rPr>
        <w:t>共计</w:t>
      </w:r>
      <w:r>
        <w:rPr>
          <w:rFonts w:hint="eastAsia" w:ascii="仿宋_GB2312" w:hAnsi="仿宋_GB2312" w:eastAsia="仿宋_GB2312" w:cs="仿宋_GB2312"/>
          <w:b w:val="0"/>
          <w:bCs w:val="0"/>
          <w:color w:val="000000"/>
          <w:sz w:val="32"/>
          <w:szCs w:val="32"/>
          <w:highlight w:val="none"/>
        </w:rPr>
        <w:t>价值</w:t>
      </w:r>
      <w:r>
        <w:rPr>
          <w:rFonts w:hint="eastAsia" w:ascii="仿宋_GB2312" w:hAnsi="仿宋_GB2312" w:eastAsia="仿宋_GB2312" w:cs="仿宋_GB2312"/>
          <w:b w:val="0"/>
          <w:bCs w:val="0"/>
          <w:color w:val="000000"/>
          <w:sz w:val="32"/>
          <w:szCs w:val="32"/>
          <w:highlight w:val="none"/>
          <w:lang w:val="en-US" w:eastAsia="zh-CN"/>
        </w:rPr>
        <w:t>69500</w:t>
      </w:r>
      <w:r>
        <w:rPr>
          <w:rFonts w:hint="eastAsia" w:ascii="仿宋_GB2312" w:hAnsi="仿宋_GB2312" w:eastAsia="仿宋_GB2312" w:cs="仿宋_GB2312"/>
          <w:b w:val="0"/>
          <w:bCs w:val="0"/>
          <w:color w:val="000000"/>
          <w:sz w:val="32"/>
          <w:szCs w:val="32"/>
          <w:highlight w:val="none"/>
        </w:rPr>
        <w:t>元，切实将和国家的关心与重视送到侨界群众的心里，为侨界群众送上节日的温暖和祝福。</w:t>
      </w:r>
    </w:p>
    <w:p>
      <w:pPr>
        <w:ind w:firstLine="640"/>
        <w:rPr>
          <w:rFonts w:hint="eastAsia"/>
          <w:highlight w:val="none"/>
        </w:rPr>
      </w:pPr>
      <w:r>
        <w:rPr>
          <w:rFonts w:hint="eastAsia"/>
          <w:highlight w:val="none"/>
        </w:rPr>
        <w:t>综上所述，根据评分标准，数量指标标准分值</w:t>
      </w:r>
      <w:r>
        <w:rPr>
          <w:rFonts w:hint="eastAsia"/>
          <w:highlight w:val="none"/>
          <w:lang w:val="en-US" w:eastAsia="zh-CN"/>
        </w:rPr>
        <w:t>20</w:t>
      </w:r>
      <w:r>
        <w:rPr>
          <w:rFonts w:hint="eastAsia"/>
          <w:highlight w:val="none"/>
        </w:rPr>
        <w:t>分，实际得</w:t>
      </w:r>
      <w:r>
        <w:rPr>
          <w:rFonts w:hint="eastAsia"/>
          <w:highlight w:val="none"/>
          <w:lang w:val="en-US" w:eastAsia="zh-CN"/>
        </w:rPr>
        <w:t>20</w:t>
      </w:r>
      <w:r>
        <w:rPr>
          <w:rFonts w:hint="eastAsia"/>
          <w:highlight w:val="none"/>
        </w:rPr>
        <w:t>分。</w:t>
      </w:r>
    </w:p>
    <w:p>
      <w:pPr>
        <w:ind w:firstLine="640"/>
        <w:rPr>
          <w:rFonts w:hint="eastAsia"/>
          <w:highlight w:val="none"/>
        </w:rPr>
      </w:pPr>
      <w:r>
        <w:rPr>
          <w:rFonts w:hint="eastAsia"/>
          <w:highlight w:val="none"/>
        </w:rPr>
        <w:t>（2）质量指标</w:t>
      </w:r>
    </w:p>
    <w:p>
      <w:pPr>
        <w:ind w:firstLine="640"/>
        <w:rPr>
          <w:rFonts w:hint="eastAsia"/>
          <w:highlight w:val="none"/>
        </w:rPr>
      </w:pPr>
      <w:r>
        <w:rPr>
          <w:rFonts w:hint="eastAsia"/>
          <w:highlight w:val="none"/>
        </w:rPr>
        <w:t>“质量指标”下设</w:t>
      </w:r>
      <w:r>
        <w:rPr>
          <w:rFonts w:hint="eastAsia"/>
          <w:highlight w:val="none"/>
          <w:lang w:val="en-US" w:eastAsia="zh-CN"/>
        </w:rPr>
        <w:t>三</w:t>
      </w:r>
      <w:r>
        <w:rPr>
          <w:rFonts w:hint="eastAsia"/>
          <w:highlight w:val="none"/>
        </w:rPr>
        <w:t>个三级指标“举办联谊会完成率”、“慰问完成率”、“召开会议到位率”。</w:t>
      </w:r>
    </w:p>
    <w:p>
      <w:pPr>
        <w:ind w:firstLine="640"/>
        <w:rPr>
          <w:rFonts w:hint="eastAsia"/>
          <w:highlight w:val="none"/>
        </w:rPr>
      </w:pPr>
      <w:r>
        <w:rPr>
          <w:rFonts w:hint="eastAsia"/>
          <w:highlight w:val="none"/>
        </w:rPr>
        <w:t>截止2021年12月31日，三门峡市侨联系统共计开展活动15个场次，</w:t>
      </w:r>
      <w:r>
        <w:rPr>
          <w:rFonts w:hint="eastAsia"/>
          <w:highlight w:val="none"/>
          <w:lang w:val="en-US" w:eastAsia="zh-CN"/>
        </w:rPr>
        <w:t>多次对侨胞走访慰问送温暖，</w:t>
      </w:r>
      <w:r>
        <w:rPr>
          <w:rFonts w:hint="eastAsia"/>
          <w:highlight w:val="none"/>
        </w:rPr>
        <w:t>慰问完成率</w:t>
      </w:r>
      <w:r>
        <w:rPr>
          <w:rFonts w:hint="eastAsia"/>
          <w:highlight w:val="none"/>
          <w:lang w:val="en-US" w:eastAsia="zh-CN"/>
        </w:rPr>
        <w:t>100%；多次召开</w:t>
      </w:r>
      <w:r>
        <w:rPr>
          <w:rFonts w:hint="eastAsia" w:ascii="Times New Roman" w:hAnsi="Times New Roman" w:eastAsia="仿宋_GB2312" w:cs="仿宋_GB2312"/>
          <w:i w:val="0"/>
          <w:iCs w:val="0"/>
          <w:caps w:val="0"/>
          <w:color w:val="000000"/>
          <w:spacing w:val="0"/>
          <w:sz w:val="32"/>
          <w:szCs w:val="32"/>
          <w:highlight w:val="none"/>
          <w:lang w:eastAsia="zh-CN"/>
        </w:rPr>
        <w:t>以</w:t>
      </w:r>
      <w:r>
        <w:rPr>
          <w:rFonts w:hint="eastAsia" w:ascii="Times New Roman" w:hAnsi="Times New Roman" w:eastAsia="仿宋_GB2312" w:cs="仿宋_GB2312"/>
          <w:i w:val="0"/>
          <w:iCs w:val="0"/>
          <w:caps w:val="0"/>
          <w:color w:val="000000"/>
          <w:spacing w:val="0"/>
          <w:sz w:val="32"/>
          <w:szCs w:val="32"/>
          <w:highlight w:val="none"/>
        </w:rPr>
        <w:t>党史学习教育</w:t>
      </w:r>
      <w:r>
        <w:rPr>
          <w:rFonts w:hint="eastAsia" w:ascii="Times New Roman" w:hAnsi="Times New Roman" w:eastAsia="仿宋_GB2312" w:cs="仿宋_GB2312"/>
          <w:i w:val="0"/>
          <w:iCs w:val="0"/>
          <w:caps w:val="0"/>
          <w:color w:val="000000"/>
          <w:spacing w:val="0"/>
          <w:sz w:val="32"/>
          <w:szCs w:val="32"/>
          <w:highlight w:val="none"/>
          <w:lang w:eastAsia="zh-CN"/>
        </w:rPr>
        <w:t>活动为中心，</w:t>
      </w:r>
      <w:r>
        <w:rPr>
          <w:rFonts w:hint="eastAsia" w:ascii="Times New Roman" w:hAnsi="Times New Roman" w:eastAsia="仿宋_GB2312" w:cs="仿宋_GB2312"/>
          <w:i w:val="0"/>
          <w:iCs w:val="0"/>
          <w:caps w:val="0"/>
          <w:color w:val="000000"/>
          <w:spacing w:val="0"/>
          <w:sz w:val="32"/>
          <w:szCs w:val="32"/>
          <w:highlight w:val="none"/>
          <w:shd w:val="clear" w:color="auto" w:fill="FFFFFF"/>
        </w:rPr>
        <w:t>统筹安排专题学习、党史宣讲、专题培训、专题组织生活会</w:t>
      </w:r>
      <w:r>
        <w:rPr>
          <w:rFonts w:hint="eastAsia" w:ascii="Times New Roman" w:hAnsi="Times New Roman" w:eastAsia="仿宋_GB2312" w:cs="仿宋_GB2312"/>
          <w:i w:val="0"/>
          <w:iCs w:val="0"/>
          <w:caps w:val="0"/>
          <w:color w:val="000000"/>
          <w:spacing w:val="0"/>
          <w:sz w:val="32"/>
          <w:szCs w:val="32"/>
          <w:highlight w:val="none"/>
          <w:shd w:val="clear" w:color="auto" w:fill="FFFFFF"/>
          <w:lang w:eastAsia="zh-CN"/>
        </w:rPr>
        <w:t>，</w:t>
      </w:r>
      <w:r>
        <w:rPr>
          <w:rFonts w:hint="eastAsia"/>
          <w:highlight w:val="none"/>
        </w:rPr>
        <w:t>召开会议到位率</w:t>
      </w:r>
      <w:r>
        <w:rPr>
          <w:rFonts w:hint="eastAsia"/>
          <w:highlight w:val="none"/>
          <w:lang w:val="en-US" w:eastAsia="zh-CN"/>
        </w:rPr>
        <w:t>100%；</w:t>
      </w:r>
      <w:r>
        <w:rPr>
          <w:rFonts w:hint="eastAsia"/>
          <w:highlight w:val="none"/>
        </w:rPr>
        <w:t>活动均已圆满完成，完成预期指标。</w:t>
      </w:r>
    </w:p>
    <w:p>
      <w:pPr>
        <w:ind w:firstLine="640"/>
        <w:rPr>
          <w:rFonts w:hint="eastAsia"/>
          <w:highlight w:val="none"/>
        </w:rPr>
      </w:pPr>
      <w:r>
        <w:rPr>
          <w:rFonts w:hint="eastAsia"/>
          <w:highlight w:val="none"/>
        </w:rPr>
        <w:t>综上所述，根据评分标准，质量指标标准分值1</w:t>
      </w:r>
      <w:r>
        <w:rPr>
          <w:rFonts w:hint="eastAsia"/>
          <w:highlight w:val="none"/>
          <w:lang w:val="en-US" w:eastAsia="zh-CN"/>
        </w:rPr>
        <w:t>5</w:t>
      </w:r>
      <w:r>
        <w:rPr>
          <w:rFonts w:hint="eastAsia"/>
          <w:highlight w:val="none"/>
        </w:rPr>
        <w:t>分，实际得1</w:t>
      </w:r>
      <w:r>
        <w:rPr>
          <w:rFonts w:hint="eastAsia"/>
          <w:highlight w:val="none"/>
          <w:lang w:val="en-US" w:eastAsia="zh-CN"/>
        </w:rPr>
        <w:t>5</w:t>
      </w:r>
      <w:r>
        <w:rPr>
          <w:rFonts w:hint="eastAsia"/>
          <w:highlight w:val="none"/>
        </w:rPr>
        <w:t>分。</w:t>
      </w:r>
    </w:p>
    <w:p>
      <w:pPr>
        <w:ind w:firstLine="640"/>
        <w:rPr>
          <w:rFonts w:hint="eastAsia"/>
          <w:highlight w:val="none"/>
        </w:rPr>
      </w:pPr>
      <w:r>
        <w:rPr>
          <w:rFonts w:hint="eastAsia"/>
          <w:highlight w:val="none"/>
        </w:rPr>
        <w:t>（3）时效指标</w:t>
      </w:r>
    </w:p>
    <w:p>
      <w:pPr>
        <w:ind w:firstLine="640"/>
        <w:rPr>
          <w:rFonts w:hint="eastAsia"/>
          <w:highlight w:val="none"/>
        </w:rPr>
      </w:pPr>
      <w:r>
        <w:rPr>
          <w:rFonts w:hint="eastAsia"/>
          <w:highlight w:val="none"/>
        </w:rPr>
        <w:t>“时效指标”下设</w:t>
      </w:r>
      <w:r>
        <w:rPr>
          <w:rFonts w:hint="eastAsia"/>
          <w:highlight w:val="none"/>
          <w:lang w:val="en-US" w:eastAsia="zh-CN"/>
        </w:rPr>
        <w:t>三</w:t>
      </w:r>
      <w:r>
        <w:rPr>
          <w:rFonts w:hint="eastAsia"/>
          <w:highlight w:val="none"/>
        </w:rPr>
        <w:t>个三级指标“举办联谊会及时性”、“慰问及时性”、“召开会议及时性”。</w:t>
      </w:r>
    </w:p>
    <w:p>
      <w:pPr>
        <w:ind w:firstLine="640"/>
        <w:rPr>
          <w:rFonts w:hint="eastAsia"/>
          <w:highlight w:val="none"/>
        </w:rPr>
      </w:pPr>
      <w:r>
        <w:rPr>
          <w:rFonts w:hint="eastAsia"/>
          <w:highlight w:val="none"/>
        </w:rPr>
        <w:t>截止2021年12月31日，三门峡市侨联系统共计开展活动15个场次，</w:t>
      </w:r>
      <w:r>
        <w:rPr>
          <w:rFonts w:hint="eastAsia"/>
          <w:highlight w:val="none"/>
          <w:lang w:val="en-US" w:eastAsia="zh-CN"/>
        </w:rPr>
        <w:t>多次对侨胞走访慰问送温暖，</w:t>
      </w:r>
      <w:r>
        <w:rPr>
          <w:rFonts w:hint="eastAsia"/>
          <w:highlight w:val="none"/>
        </w:rPr>
        <w:t>慰问完成率</w:t>
      </w:r>
      <w:r>
        <w:rPr>
          <w:rFonts w:hint="eastAsia"/>
          <w:highlight w:val="none"/>
          <w:lang w:val="en-US" w:eastAsia="zh-CN"/>
        </w:rPr>
        <w:t>100%；多次召开</w:t>
      </w:r>
      <w:r>
        <w:rPr>
          <w:rFonts w:hint="eastAsia" w:ascii="Times New Roman" w:hAnsi="Times New Roman" w:eastAsia="仿宋_GB2312" w:cs="仿宋_GB2312"/>
          <w:i w:val="0"/>
          <w:iCs w:val="0"/>
          <w:caps w:val="0"/>
          <w:color w:val="000000"/>
          <w:spacing w:val="0"/>
          <w:sz w:val="32"/>
          <w:szCs w:val="32"/>
          <w:highlight w:val="none"/>
          <w:lang w:eastAsia="zh-CN"/>
        </w:rPr>
        <w:t>以</w:t>
      </w:r>
      <w:r>
        <w:rPr>
          <w:rFonts w:hint="eastAsia" w:ascii="Times New Roman" w:hAnsi="Times New Roman" w:eastAsia="仿宋_GB2312" w:cs="仿宋_GB2312"/>
          <w:i w:val="0"/>
          <w:iCs w:val="0"/>
          <w:caps w:val="0"/>
          <w:color w:val="000000"/>
          <w:spacing w:val="0"/>
          <w:sz w:val="32"/>
          <w:szCs w:val="32"/>
          <w:highlight w:val="none"/>
        </w:rPr>
        <w:t>党史学习教育</w:t>
      </w:r>
      <w:r>
        <w:rPr>
          <w:rFonts w:hint="eastAsia" w:ascii="Times New Roman" w:hAnsi="Times New Roman" w:eastAsia="仿宋_GB2312" w:cs="仿宋_GB2312"/>
          <w:i w:val="0"/>
          <w:iCs w:val="0"/>
          <w:caps w:val="0"/>
          <w:color w:val="000000"/>
          <w:spacing w:val="0"/>
          <w:sz w:val="32"/>
          <w:szCs w:val="32"/>
          <w:highlight w:val="none"/>
          <w:lang w:eastAsia="zh-CN"/>
        </w:rPr>
        <w:t>活动为中心，</w:t>
      </w:r>
      <w:r>
        <w:rPr>
          <w:rFonts w:hint="eastAsia" w:ascii="Times New Roman" w:hAnsi="Times New Roman" w:eastAsia="仿宋_GB2312" w:cs="仿宋_GB2312"/>
          <w:i w:val="0"/>
          <w:iCs w:val="0"/>
          <w:caps w:val="0"/>
          <w:color w:val="000000"/>
          <w:spacing w:val="0"/>
          <w:sz w:val="32"/>
          <w:szCs w:val="32"/>
          <w:highlight w:val="none"/>
          <w:shd w:val="clear" w:color="auto" w:fill="FFFFFF"/>
        </w:rPr>
        <w:t>统筹安排专题学习、党史宣讲、专题培训、专题组织生活会</w:t>
      </w:r>
      <w:r>
        <w:rPr>
          <w:rFonts w:hint="eastAsia" w:ascii="Times New Roman" w:hAnsi="Times New Roman" w:eastAsia="仿宋_GB2312" w:cs="仿宋_GB2312"/>
          <w:i w:val="0"/>
          <w:iCs w:val="0"/>
          <w:caps w:val="0"/>
          <w:color w:val="000000"/>
          <w:spacing w:val="0"/>
          <w:sz w:val="32"/>
          <w:szCs w:val="32"/>
          <w:highlight w:val="none"/>
          <w:shd w:val="clear" w:color="auto" w:fill="FFFFFF"/>
          <w:lang w:eastAsia="zh-CN"/>
        </w:rPr>
        <w:t>，</w:t>
      </w:r>
      <w:r>
        <w:rPr>
          <w:rFonts w:hint="eastAsia"/>
          <w:highlight w:val="none"/>
        </w:rPr>
        <w:t>召开会议到位率</w:t>
      </w:r>
      <w:r>
        <w:rPr>
          <w:rFonts w:hint="eastAsia"/>
          <w:highlight w:val="none"/>
          <w:lang w:val="en-US" w:eastAsia="zh-CN"/>
        </w:rPr>
        <w:t>100%；</w:t>
      </w:r>
      <w:r>
        <w:rPr>
          <w:rFonts w:hint="eastAsia"/>
          <w:highlight w:val="none"/>
        </w:rPr>
        <w:t>及时参与活动开展，学习会议精神；综上所述，根据评分标准，时效指标标准分值</w:t>
      </w:r>
      <w:r>
        <w:rPr>
          <w:rFonts w:hint="eastAsia"/>
          <w:highlight w:val="none"/>
          <w:lang w:val="en-US" w:eastAsia="zh-CN"/>
        </w:rPr>
        <w:t>9</w:t>
      </w:r>
      <w:r>
        <w:rPr>
          <w:rFonts w:hint="eastAsia"/>
          <w:highlight w:val="none"/>
        </w:rPr>
        <w:t>分，实际得</w:t>
      </w:r>
      <w:r>
        <w:rPr>
          <w:rFonts w:hint="eastAsia"/>
          <w:highlight w:val="none"/>
          <w:lang w:val="en-US" w:eastAsia="zh-CN"/>
        </w:rPr>
        <w:t>9</w:t>
      </w:r>
      <w:r>
        <w:rPr>
          <w:rFonts w:hint="eastAsia"/>
          <w:highlight w:val="none"/>
        </w:rPr>
        <w:t>分。</w:t>
      </w:r>
    </w:p>
    <w:p>
      <w:pPr>
        <w:ind w:firstLine="640"/>
        <w:rPr>
          <w:highlight w:val="none"/>
        </w:rPr>
      </w:pPr>
      <w:r>
        <w:rPr>
          <w:rFonts w:hint="eastAsia"/>
          <w:highlight w:val="none"/>
        </w:rPr>
        <w:t>（</w:t>
      </w:r>
      <w:r>
        <w:rPr>
          <w:rFonts w:hint="eastAsia"/>
          <w:highlight w:val="none"/>
          <w:lang w:val="en-US" w:eastAsia="zh-CN"/>
        </w:rPr>
        <w:t>4</w:t>
      </w:r>
      <w:r>
        <w:rPr>
          <w:rFonts w:hint="eastAsia"/>
          <w:highlight w:val="none"/>
        </w:rPr>
        <w:t>）成本指标</w:t>
      </w:r>
    </w:p>
    <w:p>
      <w:pPr>
        <w:ind w:firstLine="640"/>
        <w:rPr>
          <w:rFonts w:hint="eastAsia" w:eastAsia="仿宋"/>
          <w:highlight w:val="none"/>
          <w:lang w:eastAsia="zh-CN"/>
        </w:rPr>
      </w:pPr>
      <w:r>
        <w:rPr>
          <w:rFonts w:hint="eastAsia"/>
          <w:highlight w:val="none"/>
        </w:rPr>
        <w:t>“</w:t>
      </w:r>
      <w:r>
        <w:rPr>
          <w:rFonts w:hint="eastAsia"/>
          <w:highlight w:val="none"/>
          <w:lang w:val="en-US" w:eastAsia="zh-CN"/>
        </w:rPr>
        <w:t>成本指标</w:t>
      </w:r>
      <w:r>
        <w:rPr>
          <w:rFonts w:hint="eastAsia"/>
          <w:highlight w:val="none"/>
        </w:rPr>
        <w:t>”下设</w:t>
      </w:r>
      <w:r>
        <w:rPr>
          <w:rFonts w:hint="eastAsia"/>
          <w:highlight w:val="none"/>
          <w:lang w:val="en-US" w:eastAsia="zh-CN"/>
        </w:rPr>
        <w:t>一</w:t>
      </w:r>
      <w:r>
        <w:rPr>
          <w:rFonts w:hint="eastAsia"/>
          <w:highlight w:val="none"/>
        </w:rPr>
        <w:t>个三级指标</w:t>
      </w:r>
      <w:r>
        <w:rPr>
          <w:rFonts w:hint="eastAsia"/>
          <w:highlight w:val="none"/>
          <w:lang w:eastAsia="zh-CN"/>
        </w:rPr>
        <w:t>：“</w:t>
      </w:r>
      <w:r>
        <w:rPr>
          <w:rFonts w:hint="eastAsia"/>
          <w:highlight w:val="none"/>
        </w:rPr>
        <w:t>项目总成本</w:t>
      </w:r>
      <w:r>
        <w:rPr>
          <w:rFonts w:hint="eastAsia"/>
          <w:highlight w:val="none"/>
          <w:lang w:eastAsia="zh-CN"/>
        </w:rPr>
        <w:t>”</w:t>
      </w:r>
    </w:p>
    <w:p>
      <w:pPr>
        <w:ind w:firstLine="640"/>
        <w:rPr>
          <w:highlight w:val="none"/>
        </w:rPr>
      </w:pPr>
      <w:r>
        <w:rPr>
          <w:rFonts w:hint="eastAsia"/>
          <w:highlight w:val="none"/>
        </w:rPr>
        <w:t>2</w:t>
      </w:r>
      <w:r>
        <w:rPr>
          <w:highlight w:val="none"/>
        </w:rPr>
        <w:t>02</w:t>
      </w:r>
      <w:r>
        <w:rPr>
          <w:rFonts w:hint="eastAsia"/>
          <w:highlight w:val="none"/>
          <w:lang w:val="en-US" w:eastAsia="zh-CN"/>
        </w:rPr>
        <w:t>1</w:t>
      </w:r>
      <w:r>
        <w:rPr>
          <w:rFonts w:hint="eastAsia"/>
          <w:highlight w:val="none"/>
        </w:rPr>
        <w:t>年项目财政资金</w:t>
      </w:r>
      <w:r>
        <w:rPr>
          <w:rFonts w:hint="eastAsia"/>
          <w:highlight w:val="none"/>
          <w:lang w:val="en-US" w:eastAsia="zh-CN"/>
        </w:rPr>
        <w:t>10</w:t>
      </w:r>
      <w:r>
        <w:rPr>
          <w:rFonts w:hint="eastAsia"/>
          <w:highlight w:val="none"/>
        </w:rPr>
        <w:t>万元，实际支出</w:t>
      </w:r>
      <w:r>
        <w:rPr>
          <w:rFonts w:hint="eastAsia"/>
          <w:highlight w:val="none"/>
          <w:lang w:val="en-US" w:eastAsia="zh-CN"/>
        </w:rPr>
        <w:t>10</w:t>
      </w:r>
      <w:r>
        <w:rPr>
          <w:highlight w:val="none"/>
        </w:rPr>
        <w:t>万元</w:t>
      </w:r>
      <w:r>
        <w:rPr>
          <w:rFonts w:hint="eastAsia"/>
          <w:highlight w:val="none"/>
        </w:rPr>
        <w:t>，未超出预算批复金额，因此该项指标标准分值</w:t>
      </w:r>
      <w:r>
        <w:rPr>
          <w:rFonts w:hint="eastAsia"/>
          <w:highlight w:val="none"/>
          <w:lang w:val="en-US" w:eastAsia="zh-CN"/>
        </w:rPr>
        <w:t>6</w:t>
      </w:r>
      <w:r>
        <w:rPr>
          <w:rFonts w:hint="eastAsia"/>
          <w:highlight w:val="none"/>
        </w:rPr>
        <w:t>分，得</w:t>
      </w:r>
      <w:r>
        <w:rPr>
          <w:rFonts w:hint="eastAsia"/>
          <w:highlight w:val="none"/>
          <w:lang w:val="en-US" w:eastAsia="zh-CN"/>
        </w:rPr>
        <w:t>6</w:t>
      </w:r>
      <w:r>
        <w:rPr>
          <w:rFonts w:hint="eastAsia"/>
          <w:highlight w:val="none"/>
        </w:rPr>
        <w:t>分。</w:t>
      </w:r>
    </w:p>
    <w:p>
      <w:pPr>
        <w:pStyle w:val="5"/>
        <w:ind w:firstLine="643"/>
      </w:pPr>
      <w:bookmarkStart w:id="48" w:name="_Toc79333448"/>
      <w:r>
        <w:t>3、效益指标分析</w:t>
      </w:r>
      <w:bookmarkEnd w:id="48"/>
    </w:p>
    <w:p>
      <w:pPr>
        <w:ind w:firstLine="640"/>
        <w:rPr>
          <w:rFonts w:hint="eastAsia"/>
        </w:rPr>
      </w:pPr>
      <w:r>
        <w:rPr>
          <w:rFonts w:hint="eastAsia"/>
        </w:rPr>
        <w:t>“效益指标”</w:t>
      </w:r>
      <w:r>
        <w:rPr>
          <w:rFonts w:hint="eastAsia"/>
          <w:highlight w:val="none"/>
        </w:rPr>
        <w:t>下设</w:t>
      </w:r>
      <w:r>
        <w:rPr>
          <w:rFonts w:hint="eastAsia"/>
          <w:highlight w:val="none"/>
          <w:lang w:val="en-US" w:eastAsia="zh-CN"/>
        </w:rPr>
        <w:t>两</w:t>
      </w:r>
      <w:r>
        <w:rPr>
          <w:rFonts w:hint="eastAsia"/>
          <w:highlight w:val="none"/>
        </w:rPr>
        <w:t>个二级指标，分别为“社会效益</w:t>
      </w:r>
      <w:r>
        <w:rPr>
          <w:rFonts w:hint="eastAsia"/>
          <w:highlight w:val="none"/>
          <w:lang w:val="en-US" w:eastAsia="zh-CN"/>
        </w:rPr>
        <w:t>指标</w:t>
      </w:r>
      <w:r>
        <w:rPr>
          <w:rFonts w:hint="eastAsia"/>
          <w:highlight w:val="none"/>
        </w:rPr>
        <w:t>”</w:t>
      </w:r>
      <w:r>
        <w:rPr>
          <w:rFonts w:hint="eastAsia"/>
          <w:highlight w:val="none"/>
          <w:lang w:val="en-US" w:eastAsia="zh-CN"/>
        </w:rPr>
        <w:t>和</w:t>
      </w:r>
      <w:r>
        <w:rPr>
          <w:rFonts w:hint="eastAsia"/>
          <w:highlight w:val="none"/>
        </w:rPr>
        <w:t>“可持续影响</w:t>
      </w:r>
      <w:r>
        <w:rPr>
          <w:rFonts w:hint="eastAsia"/>
          <w:highlight w:val="none"/>
          <w:lang w:val="en-US" w:eastAsia="zh-CN"/>
        </w:rPr>
        <w:t>指标</w:t>
      </w:r>
      <w:r>
        <w:rPr>
          <w:rFonts w:hint="eastAsia"/>
          <w:highlight w:val="none"/>
        </w:rPr>
        <w:t>”。</w:t>
      </w:r>
    </w:p>
    <w:p>
      <w:pPr>
        <w:ind w:firstLine="640"/>
        <w:rPr>
          <w:rFonts w:hint="eastAsia"/>
          <w:highlight w:val="none"/>
        </w:rPr>
      </w:pPr>
      <w:r>
        <w:rPr>
          <w:rFonts w:hint="eastAsia"/>
        </w:rPr>
        <w:t>（1）社会效益</w:t>
      </w:r>
    </w:p>
    <w:p>
      <w:pPr>
        <w:ind w:firstLine="640"/>
        <w:rPr>
          <w:highlight w:val="none"/>
        </w:rPr>
      </w:pPr>
      <w:r>
        <w:rPr>
          <w:rFonts w:hint="eastAsia"/>
          <w:highlight w:val="none"/>
        </w:rPr>
        <w:t>“社会效益”下设</w:t>
      </w:r>
      <w:r>
        <w:rPr>
          <w:rFonts w:hint="eastAsia"/>
          <w:highlight w:val="none"/>
          <w:lang w:val="en-US" w:eastAsia="zh-CN"/>
        </w:rPr>
        <w:t>两个</w:t>
      </w:r>
      <w:r>
        <w:rPr>
          <w:rFonts w:hint="eastAsia"/>
          <w:highlight w:val="none"/>
        </w:rPr>
        <w:t>三级指标“关心归侨侨眷中的困难群体，动员各方力量扶贫济困，帮助解决实际困难。”</w:t>
      </w:r>
      <w:r>
        <w:rPr>
          <w:rFonts w:hint="eastAsia"/>
          <w:highlight w:val="none"/>
          <w:lang w:val="en-US" w:eastAsia="zh-CN"/>
        </w:rPr>
        <w:t>和“充分调动广大归侨侨眷的积极性，凝聚侨心、集聚侨力，为三门峡市经济发展做贡献”</w:t>
      </w:r>
      <w:r>
        <w:rPr>
          <w:rFonts w:hint="eastAsia"/>
          <w:highlight w:val="none"/>
        </w:rPr>
        <w:t>。</w:t>
      </w:r>
    </w:p>
    <w:p>
      <w:pPr>
        <w:ind w:firstLine="640"/>
        <w:rPr>
          <w:rFonts w:hint="eastAsia"/>
          <w:highlight w:val="none"/>
        </w:rPr>
      </w:pPr>
      <w:r>
        <w:rPr>
          <w:rFonts w:hint="eastAsia"/>
          <w:highlight w:val="none"/>
        </w:rPr>
        <w:t>构建和谐侨界，扩大</w:t>
      </w:r>
      <w:r>
        <w:rPr>
          <w:rFonts w:hint="eastAsia"/>
          <w:highlight w:val="none"/>
          <w:lang w:val="en-US" w:eastAsia="zh-CN"/>
        </w:rPr>
        <w:t>三门峡</w:t>
      </w:r>
      <w:r>
        <w:rPr>
          <w:rFonts w:hint="eastAsia"/>
          <w:highlight w:val="none"/>
        </w:rPr>
        <w:t>在国际知名度和影响力，我</w:t>
      </w:r>
      <w:r>
        <w:rPr>
          <w:rFonts w:hint="eastAsia"/>
          <w:highlight w:val="none"/>
          <w:lang w:val="en-US" w:eastAsia="zh-CN"/>
        </w:rPr>
        <w:t>单位</w:t>
      </w:r>
      <w:r>
        <w:rPr>
          <w:rFonts w:hint="eastAsia"/>
          <w:highlight w:val="none"/>
        </w:rPr>
        <w:t>20</w:t>
      </w:r>
      <w:r>
        <w:rPr>
          <w:rFonts w:hint="eastAsia"/>
          <w:highlight w:val="none"/>
          <w:lang w:val="en-US" w:eastAsia="zh-CN"/>
        </w:rPr>
        <w:t>2</w:t>
      </w:r>
      <w:r>
        <w:rPr>
          <w:rFonts w:hint="eastAsia"/>
          <w:highlight w:val="none"/>
        </w:rPr>
        <w:t>1年侨务</w:t>
      </w:r>
      <w:r>
        <w:rPr>
          <w:rFonts w:hint="eastAsia"/>
          <w:highlight w:val="none"/>
          <w:lang w:val="en-US" w:eastAsia="zh-CN"/>
        </w:rPr>
        <w:t>专项</w:t>
      </w:r>
      <w:r>
        <w:rPr>
          <w:rFonts w:hint="eastAsia"/>
          <w:highlight w:val="none"/>
        </w:rPr>
        <w:t>经费项目加强为侨服务，进一步务实</w:t>
      </w:r>
      <w:r>
        <w:rPr>
          <w:rFonts w:hint="eastAsia"/>
          <w:highlight w:val="none"/>
          <w:lang w:val="en-US" w:eastAsia="zh-CN"/>
        </w:rPr>
        <w:t>三门峡</w:t>
      </w:r>
      <w:r>
        <w:rPr>
          <w:rFonts w:hint="eastAsia"/>
          <w:highlight w:val="none"/>
        </w:rPr>
        <w:t>对外交流合作</w:t>
      </w:r>
      <w:r>
        <w:rPr>
          <w:rFonts w:hint="eastAsia"/>
          <w:highlight w:val="none"/>
          <w:lang w:eastAsia="zh-CN"/>
        </w:rPr>
        <w:t>。</w:t>
      </w:r>
      <w:r>
        <w:rPr>
          <w:rFonts w:hint="eastAsia"/>
          <w:highlight w:val="none"/>
          <w:lang w:val="en-US" w:eastAsia="zh-CN"/>
        </w:rPr>
        <w:t>项目实施以来，</w:t>
      </w:r>
      <w:r>
        <w:rPr>
          <w:rFonts w:hint="eastAsia"/>
          <w:highlight w:val="none"/>
        </w:rPr>
        <w:t>关心归侨侨眷中的困难群体，动员各方力量扶贫济困，帮助解决实际困难</w:t>
      </w:r>
      <w:r>
        <w:rPr>
          <w:rFonts w:hint="eastAsia"/>
          <w:highlight w:val="none"/>
          <w:lang w:eastAsia="zh-CN"/>
        </w:rPr>
        <w:t>，</w:t>
      </w:r>
      <w:r>
        <w:rPr>
          <w:rFonts w:hint="eastAsia"/>
          <w:highlight w:val="none"/>
        </w:rPr>
        <w:t>充分调动广大归侨侨眷的积极性，凝聚侨心、集聚侨力</w:t>
      </w:r>
      <w:r>
        <w:rPr>
          <w:rFonts w:hint="eastAsia"/>
          <w:highlight w:val="none"/>
          <w:lang w:eastAsia="zh-CN"/>
        </w:rPr>
        <w:t>，</w:t>
      </w:r>
      <w:r>
        <w:rPr>
          <w:rFonts w:hint="eastAsia"/>
          <w:highlight w:val="none"/>
          <w:lang w:val="en-US" w:eastAsia="zh-CN"/>
        </w:rPr>
        <w:t>不过近年受疫情影响，对外业务交流受限，但还需进一步加强与侨胞日常联络，增进感情。</w:t>
      </w:r>
      <w:r>
        <w:rPr>
          <w:rFonts w:hint="eastAsia"/>
          <w:highlight w:val="none"/>
        </w:rPr>
        <w:t>项目产生社会效益达成预期指标，该指标标准分值为</w:t>
      </w:r>
      <w:r>
        <w:rPr>
          <w:rFonts w:hint="eastAsia"/>
          <w:highlight w:val="none"/>
          <w:lang w:val="en-US" w:eastAsia="zh-CN"/>
        </w:rPr>
        <w:t>2</w:t>
      </w:r>
      <w:r>
        <w:rPr>
          <w:rFonts w:hint="eastAsia"/>
          <w:highlight w:val="none"/>
        </w:rPr>
        <w:t>0分，实际综合得分为</w:t>
      </w:r>
      <w:r>
        <w:rPr>
          <w:rFonts w:hint="eastAsia"/>
          <w:highlight w:val="none"/>
          <w:lang w:val="en-US" w:eastAsia="zh-CN"/>
        </w:rPr>
        <w:t>16</w:t>
      </w:r>
      <w:r>
        <w:rPr>
          <w:rFonts w:hint="eastAsia"/>
          <w:highlight w:val="none"/>
        </w:rPr>
        <w:t>分。</w:t>
      </w:r>
    </w:p>
    <w:p>
      <w:pPr>
        <w:ind w:firstLine="640"/>
      </w:pPr>
      <w:r>
        <w:rPr>
          <w:rFonts w:hint="eastAsia"/>
        </w:rPr>
        <w:t>（</w:t>
      </w:r>
      <w:r>
        <w:t>2</w:t>
      </w:r>
      <w:r>
        <w:rPr>
          <w:rFonts w:hint="eastAsia"/>
        </w:rPr>
        <w:t>）可持续影响</w:t>
      </w:r>
    </w:p>
    <w:p>
      <w:pPr>
        <w:ind w:firstLine="640"/>
        <w:rPr>
          <w:highlight w:val="none"/>
        </w:rPr>
      </w:pPr>
      <w:r>
        <w:rPr>
          <w:rFonts w:hint="eastAsia"/>
          <w:highlight w:val="none"/>
        </w:rPr>
        <w:t>“可持续影响”下设</w:t>
      </w:r>
      <w:r>
        <w:rPr>
          <w:rFonts w:hint="eastAsia"/>
          <w:highlight w:val="none"/>
          <w:lang w:val="en-US" w:eastAsia="zh-CN"/>
        </w:rPr>
        <w:t>一个</w:t>
      </w:r>
      <w:r>
        <w:rPr>
          <w:rFonts w:hint="eastAsia"/>
          <w:highlight w:val="none"/>
        </w:rPr>
        <w:t>三级指标“持续保持归侨侨眷和海外侨胞凝聚力”。</w:t>
      </w:r>
    </w:p>
    <w:p>
      <w:pPr>
        <w:pStyle w:val="2"/>
      </w:pPr>
      <w:r>
        <w:rPr>
          <w:rFonts w:hint="eastAsia"/>
          <w:highlight w:val="none"/>
          <w:lang w:val="en-US" w:eastAsia="zh-CN"/>
        </w:rPr>
        <w:t>项目实施以来，</w:t>
      </w:r>
      <w:r>
        <w:rPr>
          <w:rFonts w:hint="eastAsia"/>
          <w:highlight w:val="none"/>
        </w:rPr>
        <w:t>三门峡市侨联系统共计开展活动15个场次，</w:t>
      </w:r>
      <w:r>
        <w:rPr>
          <w:rFonts w:hint="eastAsia"/>
          <w:highlight w:val="none"/>
          <w:lang w:val="en-US" w:eastAsia="zh-CN"/>
        </w:rPr>
        <w:t>多次对侨胞走访慰问送温暖，</w:t>
      </w:r>
      <w:r>
        <w:rPr>
          <w:rFonts w:hint="eastAsia"/>
          <w:highlight w:val="none"/>
        </w:rPr>
        <w:t>慰问完成率</w:t>
      </w:r>
      <w:r>
        <w:rPr>
          <w:rFonts w:hint="eastAsia"/>
          <w:highlight w:val="none"/>
          <w:lang w:val="en-US" w:eastAsia="zh-CN"/>
        </w:rPr>
        <w:t>100%；多次召开</w:t>
      </w:r>
      <w:r>
        <w:rPr>
          <w:rFonts w:hint="eastAsia" w:ascii="Times New Roman" w:hAnsi="Times New Roman" w:eastAsia="仿宋_GB2312" w:cs="仿宋_GB2312"/>
          <w:i w:val="0"/>
          <w:iCs w:val="0"/>
          <w:caps w:val="0"/>
          <w:color w:val="000000"/>
          <w:spacing w:val="0"/>
          <w:sz w:val="32"/>
          <w:szCs w:val="32"/>
          <w:highlight w:val="none"/>
          <w:lang w:eastAsia="zh-CN"/>
        </w:rPr>
        <w:t>以</w:t>
      </w:r>
      <w:r>
        <w:rPr>
          <w:rFonts w:hint="eastAsia" w:ascii="Times New Roman" w:hAnsi="Times New Roman" w:eastAsia="仿宋_GB2312" w:cs="仿宋_GB2312"/>
          <w:i w:val="0"/>
          <w:iCs w:val="0"/>
          <w:caps w:val="0"/>
          <w:color w:val="000000"/>
          <w:spacing w:val="0"/>
          <w:sz w:val="32"/>
          <w:szCs w:val="32"/>
          <w:highlight w:val="none"/>
        </w:rPr>
        <w:t>党史学习教育</w:t>
      </w:r>
      <w:r>
        <w:rPr>
          <w:rFonts w:hint="eastAsia" w:ascii="Times New Roman" w:hAnsi="Times New Roman" w:eastAsia="仿宋_GB2312" w:cs="仿宋_GB2312"/>
          <w:i w:val="0"/>
          <w:iCs w:val="0"/>
          <w:caps w:val="0"/>
          <w:color w:val="000000"/>
          <w:spacing w:val="0"/>
          <w:sz w:val="32"/>
          <w:szCs w:val="32"/>
          <w:highlight w:val="none"/>
          <w:lang w:eastAsia="zh-CN"/>
        </w:rPr>
        <w:t>活动为中心，</w:t>
      </w:r>
      <w:r>
        <w:rPr>
          <w:rFonts w:hint="eastAsia" w:ascii="Times New Roman" w:hAnsi="Times New Roman" w:eastAsia="仿宋_GB2312" w:cs="仿宋_GB2312"/>
          <w:i w:val="0"/>
          <w:iCs w:val="0"/>
          <w:caps w:val="0"/>
          <w:color w:val="000000"/>
          <w:spacing w:val="0"/>
          <w:sz w:val="32"/>
          <w:szCs w:val="32"/>
          <w:highlight w:val="none"/>
          <w:shd w:val="clear" w:color="auto" w:fill="FFFFFF"/>
        </w:rPr>
        <w:t>统筹安排专题学习、党史宣讲、专题培训、专题组织生活会</w:t>
      </w:r>
      <w:r>
        <w:rPr>
          <w:rFonts w:hint="eastAsia" w:ascii="Times New Roman" w:hAnsi="Times New Roman" w:eastAsia="仿宋_GB2312" w:cs="仿宋_GB2312"/>
          <w:i w:val="0"/>
          <w:iCs w:val="0"/>
          <w:caps w:val="0"/>
          <w:color w:val="000000"/>
          <w:spacing w:val="0"/>
          <w:sz w:val="32"/>
          <w:szCs w:val="32"/>
          <w:highlight w:val="none"/>
          <w:shd w:val="clear" w:color="auto" w:fill="FFFFFF"/>
          <w:lang w:eastAsia="zh-CN"/>
        </w:rPr>
        <w:t>，</w:t>
      </w:r>
      <w:r>
        <w:rPr>
          <w:rFonts w:hint="eastAsia"/>
          <w:highlight w:val="none"/>
        </w:rPr>
        <w:t>持续保持归侨侨眷和海外侨胞凝聚力</w:t>
      </w:r>
      <w:r>
        <w:rPr>
          <w:rFonts w:hint="eastAsia"/>
          <w:highlight w:val="none"/>
          <w:lang w:eastAsia="zh-CN"/>
        </w:rPr>
        <w:t>。</w:t>
      </w:r>
      <w:r>
        <w:rPr>
          <w:rFonts w:hint="eastAsia"/>
          <w:highlight w:val="none"/>
        </w:rPr>
        <w:t>具有可持续影响效益，该指标标准分值为</w:t>
      </w:r>
      <w:r>
        <w:rPr>
          <w:rFonts w:hint="eastAsia"/>
          <w:highlight w:val="none"/>
          <w:lang w:val="en-US" w:eastAsia="zh-CN"/>
        </w:rPr>
        <w:t>10</w:t>
      </w:r>
      <w:r>
        <w:rPr>
          <w:rFonts w:hint="eastAsia"/>
          <w:highlight w:val="none"/>
        </w:rPr>
        <w:t>分，实际综合得分为</w:t>
      </w:r>
      <w:r>
        <w:rPr>
          <w:rFonts w:hint="eastAsia"/>
          <w:highlight w:val="none"/>
          <w:lang w:val="en-US" w:eastAsia="zh-CN"/>
        </w:rPr>
        <w:t>10</w:t>
      </w:r>
      <w:r>
        <w:rPr>
          <w:rFonts w:hint="eastAsia"/>
          <w:highlight w:val="none"/>
        </w:rPr>
        <w:t>分。</w:t>
      </w:r>
    </w:p>
    <w:p>
      <w:pPr>
        <w:pStyle w:val="5"/>
        <w:ind w:firstLine="643"/>
        <w:rPr>
          <w:highlight w:val="none"/>
        </w:rPr>
      </w:pPr>
      <w:bookmarkStart w:id="49" w:name="_Toc79333449"/>
      <w:r>
        <w:rPr>
          <w:highlight w:val="none"/>
        </w:rPr>
        <w:t>4、满意度指标分析</w:t>
      </w:r>
      <w:bookmarkEnd w:id="49"/>
    </w:p>
    <w:p>
      <w:pPr>
        <w:ind w:firstLine="640"/>
        <w:rPr>
          <w:highlight w:val="none"/>
        </w:rPr>
      </w:pPr>
      <w:r>
        <w:rPr>
          <w:rFonts w:hint="eastAsia"/>
          <w:highlight w:val="none"/>
        </w:rPr>
        <w:t>满意度：本项目调查归侨侨眷受益人群</w:t>
      </w:r>
      <w:r>
        <w:rPr>
          <w:rFonts w:hint="eastAsia"/>
          <w:highlight w:val="none"/>
          <w:lang w:val="en-US" w:eastAsia="zh-CN"/>
        </w:rPr>
        <w:t>28</w:t>
      </w:r>
      <w:r>
        <w:rPr>
          <w:rFonts w:hint="eastAsia"/>
          <w:highlight w:val="none"/>
        </w:rPr>
        <w:t>人，</w:t>
      </w:r>
      <w:r>
        <w:rPr>
          <w:rFonts w:hint="eastAsia"/>
          <w:highlight w:val="none"/>
          <w:lang w:val="en-US" w:eastAsia="zh-CN"/>
        </w:rPr>
        <w:t>通过召开座谈会模式讨论分析，满意度较高，</w:t>
      </w:r>
      <w:r>
        <w:rPr>
          <w:rFonts w:hint="eastAsia"/>
          <w:highlight w:val="none"/>
        </w:rPr>
        <w:t>综合满意度</w:t>
      </w:r>
      <w:r>
        <w:rPr>
          <w:rFonts w:hint="eastAsia"/>
          <w:highlight w:val="none"/>
          <w:lang w:val="en-US" w:eastAsia="zh-CN"/>
        </w:rPr>
        <w:t>达98</w:t>
      </w:r>
      <w:r>
        <w:rPr>
          <w:rFonts w:hint="eastAsia"/>
          <w:highlight w:val="none"/>
        </w:rPr>
        <w:t>%</w:t>
      </w:r>
      <w:r>
        <w:rPr>
          <w:rFonts w:hint="eastAsia"/>
          <w:highlight w:val="none"/>
          <w:lang w:val="en-US" w:eastAsia="zh-CN"/>
        </w:rPr>
        <w:t>以上</w:t>
      </w:r>
      <w:r>
        <w:rPr>
          <w:rFonts w:hint="eastAsia"/>
          <w:highlight w:val="none"/>
        </w:rPr>
        <w:t>，根据评分标准，该项指标标准分值10分，得分为</w:t>
      </w:r>
      <w:r>
        <w:rPr>
          <w:rFonts w:hint="eastAsia"/>
          <w:highlight w:val="none"/>
          <w:lang w:val="en-US" w:eastAsia="zh-CN"/>
        </w:rPr>
        <w:t>1</w:t>
      </w:r>
      <w:r>
        <w:rPr>
          <w:rFonts w:hint="eastAsia"/>
          <w:highlight w:val="none"/>
        </w:rPr>
        <w:t>0分。</w:t>
      </w:r>
    </w:p>
    <w:p>
      <w:pPr>
        <w:pStyle w:val="3"/>
      </w:pPr>
      <w:bookmarkStart w:id="50" w:name="_Toc29830"/>
      <w:bookmarkStart w:id="51" w:name="_Toc79333450"/>
      <w:bookmarkStart w:id="52" w:name="_Toc9645"/>
      <w:r>
        <w:rPr>
          <w:rFonts w:hint="eastAsia"/>
        </w:rPr>
        <w:t>四、成果和问题</w:t>
      </w:r>
      <w:bookmarkEnd w:id="50"/>
      <w:bookmarkEnd w:id="51"/>
      <w:bookmarkEnd w:id="52"/>
    </w:p>
    <w:p>
      <w:pPr>
        <w:pStyle w:val="4"/>
      </w:pPr>
      <w:bookmarkStart w:id="53" w:name="_Toc79333451"/>
      <w:bookmarkStart w:id="54" w:name="_Toc20288"/>
      <w:r>
        <w:rPr>
          <w:rFonts w:hint="eastAsia"/>
        </w:rPr>
        <w:t>（一）项目实施的成果</w:t>
      </w:r>
      <w:bookmarkEnd w:id="53"/>
      <w:bookmarkEnd w:id="54"/>
    </w:p>
    <w:p>
      <w:pPr>
        <w:ind w:firstLine="640"/>
        <w:rPr>
          <w:highlight w:val="none"/>
        </w:rPr>
      </w:pPr>
      <w:r>
        <w:rPr>
          <w:rFonts w:hint="eastAsia"/>
          <w:highlight w:val="none"/>
        </w:rPr>
        <w:t>加强与有代表性河南籍侨领的日常联络，听取他们关于我市做好海外统战工作的建议，为我市做好海外统战工作提供依据。</w:t>
      </w:r>
    </w:p>
    <w:p>
      <w:pPr>
        <w:pStyle w:val="4"/>
        <w:rPr>
          <w:b/>
        </w:rPr>
      </w:pPr>
      <w:bookmarkStart w:id="55" w:name="_Toc79333452"/>
      <w:bookmarkStart w:id="56" w:name="_Toc1397"/>
      <w:r>
        <w:rPr>
          <w:rFonts w:hint="eastAsia"/>
        </w:rPr>
        <w:t>（二）项目存在的问题</w:t>
      </w:r>
      <w:bookmarkEnd w:id="55"/>
      <w:bookmarkEnd w:id="56"/>
    </w:p>
    <w:p>
      <w:pPr>
        <w:ind w:firstLine="643"/>
        <w:rPr>
          <w:bCs/>
          <w:highlight w:val="none"/>
        </w:rPr>
      </w:pPr>
      <w:r>
        <w:rPr>
          <w:rFonts w:hint="eastAsia"/>
          <w:b/>
          <w:highlight w:val="none"/>
        </w:rPr>
        <w:t>自评价不够客观</w:t>
      </w:r>
      <w:r>
        <w:rPr>
          <w:rFonts w:hint="eastAsia"/>
          <w:b/>
          <w:highlight w:val="none"/>
          <w:lang w:eastAsia="zh-CN"/>
        </w:rPr>
        <w:t>：</w:t>
      </w:r>
      <w:r>
        <w:rPr>
          <w:rFonts w:hint="eastAsia"/>
          <w:b w:val="0"/>
          <w:bCs/>
          <w:highlight w:val="none"/>
        </w:rPr>
        <w:t>一是自评打分缺少有力的材料佐证，随意性较大；二是自评报告以反映项目实施依据、实施内容及具体支出金额和预算执行率为主，没有深入查找剖析项目实施过程中存在的问题,并提出相对应的改进措施。三是绩效评价资料收集不够全面，主要是社会效益方面的资料不够全面，由于不注重收集或收集不及时，致使在评价过程中缺乏有说服力的证据。</w:t>
      </w:r>
    </w:p>
    <w:p>
      <w:pPr>
        <w:pStyle w:val="3"/>
        <w:rPr>
          <w:highlight w:val="none"/>
        </w:rPr>
      </w:pPr>
      <w:bookmarkStart w:id="57" w:name="_Toc27227"/>
      <w:bookmarkStart w:id="58" w:name="_Toc79333453"/>
      <w:bookmarkStart w:id="59" w:name="_Toc24630"/>
      <w:r>
        <w:rPr>
          <w:rFonts w:hint="eastAsia"/>
          <w:highlight w:val="none"/>
        </w:rPr>
        <w:t>五、建议</w:t>
      </w:r>
      <w:bookmarkEnd w:id="57"/>
      <w:bookmarkEnd w:id="58"/>
      <w:bookmarkEnd w:id="59"/>
    </w:p>
    <w:p>
      <w:pPr>
        <w:pStyle w:val="4"/>
        <w:rPr>
          <w:highlight w:val="none"/>
        </w:rPr>
      </w:pPr>
      <w:bookmarkStart w:id="60" w:name="_Toc79333454"/>
      <w:bookmarkStart w:id="61" w:name="_Toc21826"/>
      <w:r>
        <w:rPr>
          <w:rFonts w:hint="eastAsia"/>
          <w:highlight w:val="none"/>
        </w:rPr>
        <w:t>（一）强化预算绩效管理意识，提升项目产出效益</w:t>
      </w:r>
      <w:bookmarkEnd w:id="60"/>
      <w:bookmarkEnd w:id="61"/>
    </w:p>
    <w:p>
      <w:pPr>
        <w:ind w:firstLine="64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我单位应按照全面实施预算绩效管理工作要求：牢固树立“花钱必有效，无效必问责”的预算绩效管理理念，加快推进全方位、全过程、全覆盖的预算绩效管理体系建设，积极推进全面实施预算绩效管理工作，提升预算绩效管理水平。为发挥好财政职能作用，必须按照全面深化改革的要求，提高单位绩效管理意识，使财政资金发挥真正的效益。</w:t>
      </w:r>
    </w:p>
    <w:p>
      <w:pPr>
        <w:pStyle w:val="4"/>
        <w:rPr>
          <w:highlight w:val="none"/>
        </w:rPr>
      </w:pPr>
      <w:bookmarkStart w:id="62" w:name="_Toc79333455"/>
      <w:bookmarkStart w:id="63" w:name="_Toc11748"/>
      <w:r>
        <w:rPr>
          <w:rFonts w:hint="eastAsia"/>
          <w:highlight w:val="none"/>
        </w:rPr>
        <w:t>（二）加强学习培训，进一步提高绩效管理水平</w:t>
      </w:r>
      <w:bookmarkEnd w:id="62"/>
      <w:bookmarkEnd w:id="63"/>
    </w:p>
    <w:p>
      <w:pPr>
        <w:ind w:firstLine="640"/>
        <w:rPr>
          <w:highlight w:val="none"/>
        </w:rPr>
      </w:pPr>
      <w:r>
        <w:rPr>
          <w:rFonts w:hint="eastAsia"/>
          <w:highlight w:val="none"/>
        </w:rPr>
        <w:t>通过本次自评，发现我单位整体绩效评价水平不够，为更好的开展以后绩效评价和项目管理工作，建议财政部门组织绩效管理专题培训会议。</w:t>
      </w:r>
    </w:p>
    <w:p>
      <w:pPr>
        <w:pStyle w:val="3"/>
        <w:rPr>
          <w:highlight w:val="none"/>
        </w:rPr>
      </w:pPr>
      <w:bookmarkStart w:id="64" w:name="_Toc79333457"/>
      <w:bookmarkStart w:id="65" w:name="_Toc665"/>
      <w:bookmarkStart w:id="66" w:name="_Toc26014"/>
      <w:r>
        <w:rPr>
          <w:rFonts w:hint="eastAsia"/>
          <w:highlight w:val="none"/>
        </w:rPr>
        <w:t>六、其他需要说明的问题</w:t>
      </w:r>
      <w:bookmarkEnd w:id="64"/>
      <w:bookmarkEnd w:id="65"/>
      <w:bookmarkEnd w:id="66"/>
    </w:p>
    <w:p>
      <w:pPr>
        <w:ind w:firstLine="640"/>
        <w:rPr>
          <w:rFonts w:hint="eastAsia" w:eastAsia="仿宋"/>
          <w:highlight w:val="none"/>
          <w:lang w:eastAsia="zh-CN"/>
        </w:rPr>
      </w:pPr>
      <w:r>
        <w:rPr>
          <w:rFonts w:hint="eastAsia"/>
          <w:highlight w:val="none"/>
        </w:rPr>
        <w:t>无</w:t>
      </w:r>
      <w:r>
        <w:rPr>
          <w:rFonts w:hint="eastAsia"/>
          <w:highlight w:val="none"/>
          <w:lang w:eastAsia="zh-CN"/>
        </w:rPr>
        <w:t>。</w:t>
      </w:r>
    </w:p>
    <w:p>
      <w:pPr>
        <w:pStyle w:val="3"/>
        <w:rPr>
          <w:highlight w:val="none"/>
        </w:rPr>
      </w:pPr>
      <w:bookmarkStart w:id="67" w:name="_Toc61882435"/>
      <w:bookmarkStart w:id="68" w:name="_Toc62030119"/>
      <w:bookmarkStart w:id="69" w:name="_Toc75871379"/>
      <w:bookmarkStart w:id="70" w:name="_Toc79333458"/>
      <w:bookmarkStart w:id="71" w:name="_Toc32450"/>
      <w:r>
        <w:rPr>
          <w:rFonts w:hint="eastAsia"/>
          <w:highlight w:val="none"/>
        </w:rPr>
        <w:t>七、附件</w:t>
      </w:r>
      <w:bookmarkEnd w:id="67"/>
      <w:bookmarkEnd w:id="68"/>
      <w:bookmarkEnd w:id="69"/>
      <w:bookmarkEnd w:id="70"/>
      <w:bookmarkEnd w:id="71"/>
    </w:p>
    <w:p>
      <w:pPr>
        <w:ind w:firstLine="640"/>
        <w:rPr>
          <w:highlight w:val="none"/>
        </w:rPr>
      </w:pPr>
      <w:r>
        <w:rPr>
          <w:rFonts w:hint="eastAsia"/>
          <w:highlight w:val="none"/>
        </w:rPr>
        <w:t>附件一：项目支出绩效自评表</w:t>
      </w:r>
    </w:p>
    <w:p>
      <w:pPr>
        <w:ind w:firstLine="640"/>
      </w:pPr>
    </w:p>
    <w:p>
      <w:pPr>
        <w:pStyle w:val="2"/>
        <w:sectPr>
          <w:footerReference r:id="rId6" w:type="default"/>
          <w:pgSz w:w="11906" w:h="16838"/>
          <w:pgMar w:top="1440" w:right="1800" w:bottom="1440" w:left="1800" w:header="851" w:footer="737" w:gutter="0"/>
          <w:pgBorders>
            <w:top w:val="none" w:sz="0" w:space="0"/>
            <w:left w:val="none" w:sz="0" w:space="0"/>
            <w:bottom w:val="none" w:sz="0" w:space="0"/>
            <w:right w:val="none" w:sz="0" w:space="0"/>
          </w:pgBorders>
          <w:pgNumType w:fmt="decimal" w:start="1"/>
          <w:cols w:space="0" w:num="1"/>
          <w:docGrid w:linePitch="312" w:charSpace="0"/>
        </w:sectPr>
      </w:pPr>
    </w:p>
    <w:tbl>
      <w:tblPr>
        <w:tblStyle w:val="13"/>
        <w:tblW w:w="4997" w:type="pct"/>
        <w:tblInd w:w="0" w:type="dxa"/>
        <w:shd w:val="clear" w:color="auto" w:fill="auto"/>
        <w:tblLayout w:type="autofit"/>
        <w:tblCellMar>
          <w:top w:w="0" w:type="dxa"/>
          <w:left w:w="0" w:type="dxa"/>
          <w:bottom w:w="0" w:type="dxa"/>
          <w:right w:w="0" w:type="dxa"/>
        </w:tblCellMar>
      </w:tblPr>
      <w:tblGrid>
        <w:gridCol w:w="1275"/>
        <w:gridCol w:w="1110"/>
        <w:gridCol w:w="1359"/>
        <w:gridCol w:w="2556"/>
        <w:gridCol w:w="1297"/>
        <w:gridCol w:w="1448"/>
        <w:gridCol w:w="1454"/>
        <w:gridCol w:w="939"/>
        <w:gridCol w:w="1035"/>
        <w:gridCol w:w="450"/>
        <w:gridCol w:w="1057"/>
      </w:tblGrid>
      <w:tr>
        <w:tblPrEx>
          <w:shd w:val="clear" w:color="auto" w:fill="auto"/>
          <w:tblCellMar>
            <w:top w:w="0" w:type="dxa"/>
            <w:left w:w="0" w:type="dxa"/>
            <w:bottom w:w="0" w:type="dxa"/>
            <w:right w:w="0" w:type="dxa"/>
          </w:tblCellMar>
        </w:tblPrEx>
        <w:trPr>
          <w:trHeight w:val="450" w:hRule="atLeast"/>
        </w:trPr>
        <w:tc>
          <w:tcPr>
            <w:tcW w:w="2253" w:type="pct"/>
            <w:gridSpan w:val="4"/>
            <w:tcBorders>
              <w:top w:val="nil"/>
              <w:left w:val="nil"/>
              <w:bottom w:val="nil"/>
              <w:right w:val="nil"/>
            </w:tcBorders>
            <w:shd w:val="clear" w:color="auto" w:fill="auto"/>
            <w:noWrap/>
            <w:tcMar>
              <w:top w:w="15" w:type="dxa"/>
              <w:left w:w="15" w:type="dxa"/>
              <w:right w:w="15" w:type="dxa"/>
            </w:tcMar>
            <w:vAlign w:val="bottom"/>
          </w:tcPr>
          <w:p>
            <w:pPr>
              <w:spacing w:line="240" w:lineRule="auto"/>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2"/>
                <w:szCs w:val="22"/>
                <w:u w:val="none"/>
                <w:lang w:val="en-US" w:eastAsia="zh-CN" w:bidi="ar"/>
              </w:rPr>
              <w:t>附件1：项目支出绩效自评表</w:t>
            </w:r>
          </w:p>
        </w:tc>
        <w:tc>
          <w:tcPr>
            <w:tcW w:w="463" w:type="pct"/>
            <w:tcBorders>
              <w:top w:val="nil"/>
              <w:left w:val="nil"/>
              <w:bottom w:val="nil"/>
              <w:right w:val="nil"/>
            </w:tcBorders>
            <w:shd w:val="clear" w:color="auto" w:fill="auto"/>
            <w:noWrap/>
            <w:tcMar>
              <w:top w:w="15" w:type="dxa"/>
              <w:left w:w="15" w:type="dxa"/>
              <w:right w:w="15" w:type="dxa"/>
            </w:tcMar>
            <w:vAlign w:val="bottom"/>
          </w:tcPr>
          <w:p>
            <w:pPr>
              <w:spacing w:line="240" w:lineRule="auto"/>
              <w:rPr>
                <w:rFonts w:hint="eastAsia" w:ascii="宋体" w:hAnsi="宋体" w:eastAsia="宋体" w:cs="宋体"/>
                <w:i w:val="0"/>
                <w:color w:val="000000"/>
                <w:sz w:val="20"/>
                <w:szCs w:val="20"/>
                <w:u w:val="none"/>
              </w:rPr>
            </w:pPr>
          </w:p>
        </w:tc>
        <w:tc>
          <w:tcPr>
            <w:tcW w:w="517" w:type="pct"/>
            <w:tcBorders>
              <w:top w:val="nil"/>
              <w:left w:val="nil"/>
              <w:bottom w:val="nil"/>
              <w:right w:val="nil"/>
            </w:tcBorders>
            <w:shd w:val="clear" w:color="auto" w:fill="auto"/>
            <w:noWrap/>
            <w:tcMar>
              <w:top w:w="15" w:type="dxa"/>
              <w:left w:w="15" w:type="dxa"/>
              <w:right w:w="15" w:type="dxa"/>
            </w:tcMar>
            <w:vAlign w:val="bottom"/>
          </w:tcPr>
          <w:p>
            <w:pPr>
              <w:spacing w:line="240" w:lineRule="auto"/>
              <w:rPr>
                <w:rFonts w:hint="eastAsia" w:ascii="宋体" w:hAnsi="宋体" w:eastAsia="宋体" w:cs="宋体"/>
                <w:i w:val="0"/>
                <w:color w:val="000000"/>
                <w:sz w:val="20"/>
                <w:szCs w:val="20"/>
                <w:u w:val="none"/>
              </w:rPr>
            </w:pPr>
          </w:p>
        </w:tc>
        <w:tc>
          <w:tcPr>
            <w:tcW w:w="518" w:type="pct"/>
            <w:tcBorders>
              <w:top w:val="nil"/>
              <w:left w:val="nil"/>
              <w:bottom w:val="nil"/>
              <w:right w:val="nil"/>
            </w:tcBorders>
            <w:shd w:val="clear" w:color="auto" w:fill="auto"/>
            <w:noWrap/>
            <w:tcMar>
              <w:top w:w="15" w:type="dxa"/>
              <w:left w:w="15" w:type="dxa"/>
              <w:right w:w="15" w:type="dxa"/>
            </w:tcMar>
            <w:vAlign w:val="bottom"/>
          </w:tcPr>
          <w:p>
            <w:pPr>
              <w:spacing w:line="240" w:lineRule="auto"/>
              <w:rPr>
                <w:rFonts w:hint="eastAsia" w:ascii="宋体" w:hAnsi="宋体" w:eastAsia="宋体" w:cs="宋体"/>
                <w:i w:val="0"/>
                <w:color w:val="000000"/>
                <w:sz w:val="20"/>
                <w:szCs w:val="20"/>
                <w:u w:val="none"/>
              </w:rPr>
            </w:pPr>
          </w:p>
        </w:tc>
        <w:tc>
          <w:tcPr>
            <w:tcW w:w="336" w:type="pct"/>
            <w:tcBorders>
              <w:top w:val="nil"/>
              <w:left w:val="nil"/>
              <w:bottom w:val="nil"/>
              <w:right w:val="nil"/>
            </w:tcBorders>
            <w:shd w:val="clear" w:color="auto" w:fill="auto"/>
            <w:noWrap/>
            <w:tcMar>
              <w:top w:w="15" w:type="dxa"/>
              <w:left w:w="15" w:type="dxa"/>
              <w:right w:w="15" w:type="dxa"/>
            </w:tcMar>
            <w:vAlign w:val="bottom"/>
          </w:tcPr>
          <w:p>
            <w:pPr>
              <w:spacing w:line="240" w:lineRule="auto"/>
              <w:rPr>
                <w:rFonts w:hint="eastAsia" w:ascii="宋体" w:hAnsi="宋体" w:eastAsia="宋体" w:cs="宋体"/>
                <w:i w:val="0"/>
                <w:color w:val="000000"/>
                <w:sz w:val="20"/>
                <w:szCs w:val="20"/>
                <w:u w:val="none"/>
              </w:rPr>
            </w:pPr>
          </w:p>
        </w:tc>
        <w:tc>
          <w:tcPr>
            <w:tcW w:w="370" w:type="pct"/>
            <w:tcBorders>
              <w:top w:val="nil"/>
              <w:left w:val="nil"/>
              <w:bottom w:val="nil"/>
              <w:right w:val="nil"/>
            </w:tcBorders>
            <w:shd w:val="clear" w:color="auto" w:fill="auto"/>
            <w:noWrap/>
            <w:tcMar>
              <w:top w:w="15" w:type="dxa"/>
              <w:left w:w="15" w:type="dxa"/>
              <w:right w:w="15" w:type="dxa"/>
            </w:tcMar>
            <w:vAlign w:val="bottom"/>
          </w:tcPr>
          <w:p>
            <w:pPr>
              <w:spacing w:line="240" w:lineRule="auto"/>
              <w:rPr>
                <w:rFonts w:hint="eastAsia" w:ascii="宋体" w:hAnsi="宋体" w:eastAsia="宋体" w:cs="宋体"/>
                <w:i w:val="0"/>
                <w:color w:val="000000"/>
                <w:sz w:val="20"/>
                <w:szCs w:val="20"/>
                <w:u w:val="none"/>
              </w:rPr>
            </w:pPr>
          </w:p>
        </w:tc>
        <w:tc>
          <w:tcPr>
            <w:tcW w:w="160" w:type="pct"/>
            <w:tcBorders>
              <w:top w:val="nil"/>
              <w:left w:val="nil"/>
              <w:bottom w:val="nil"/>
              <w:right w:val="nil"/>
            </w:tcBorders>
            <w:shd w:val="clear" w:color="auto" w:fill="auto"/>
            <w:noWrap/>
            <w:tcMar>
              <w:top w:w="15" w:type="dxa"/>
              <w:left w:w="15" w:type="dxa"/>
              <w:right w:w="15" w:type="dxa"/>
            </w:tcMar>
            <w:vAlign w:val="bottom"/>
          </w:tcPr>
          <w:p>
            <w:pPr>
              <w:spacing w:line="240" w:lineRule="auto"/>
              <w:rPr>
                <w:rFonts w:hint="eastAsia" w:ascii="宋体" w:hAnsi="宋体" w:eastAsia="宋体" w:cs="宋体"/>
                <w:i w:val="0"/>
                <w:color w:val="000000"/>
                <w:sz w:val="20"/>
                <w:szCs w:val="20"/>
                <w:u w:val="none"/>
              </w:rPr>
            </w:pPr>
          </w:p>
        </w:tc>
        <w:tc>
          <w:tcPr>
            <w:tcW w:w="378" w:type="pct"/>
            <w:tcBorders>
              <w:top w:val="nil"/>
              <w:left w:val="nil"/>
              <w:bottom w:val="nil"/>
              <w:right w:val="nil"/>
            </w:tcBorders>
            <w:shd w:val="clear" w:color="auto" w:fill="auto"/>
            <w:noWrap/>
            <w:tcMar>
              <w:top w:w="15" w:type="dxa"/>
              <w:left w:w="15" w:type="dxa"/>
              <w:right w:w="15" w:type="dxa"/>
            </w:tcMar>
            <w:vAlign w:val="bottom"/>
          </w:tcPr>
          <w:p>
            <w:pPr>
              <w:spacing w:line="240" w:lineRule="auto"/>
              <w:rPr>
                <w:rFonts w:hint="eastAsia" w:ascii="宋体" w:hAnsi="宋体" w:eastAsia="宋体" w:cs="宋体"/>
                <w:i w:val="0"/>
                <w:color w:val="000000"/>
                <w:sz w:val="20"/>
                <w:szCs w:val="20"/>
                <w:u w:val="none"/>
              </w:rPr>
            </w:pPr>
          </w:p>
        </w:tc>
      </w:tr>
      <w:tr>
        <w:tblPrEx>
          <w:shd w:val="clear" w:color="auto" w:fill="auto"/>
        </w:tblPrEx>
        <w:trPr>
          <w:trHeight w:val="559" w:hRule="atLeast"/>
        </w:trPr>
        <w:tc>
          <w:tcPr>
            <w:tcW w:w="5000" w:type="pct"/>
            <w:gridSpan w:val="11"/>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项目支出绩效自评表</w:t>
            </w:r>
          </w:p>
        </w:tc>
      </w:tr>
      <w:tr>
        <w:tblPrEx>
          <w:shd w:val="clear" w:color="auto" w:fill="auto"/>
          <w:tblCellMar>
            <w:top w:w="0" w:type="dxa"/>
            <w:left w:w="0" w:type="dxa"/>
            <w:bottom w:w="0" w:type="dxa"/>
            <w:right w:w="0" w:type="dxa"/>
          </w:tblCellMar>
        </w:tblPrEx>
        <w:trPr>
          <w:trHeight w:val="358" w:hRule="atLeast"/>
        </w:trPr>
        <w:tc>
          <w:tcPr>
            <w:tcW w:w="5000" w:type="pct"/>
            <w:gridSpan w:val="11"/>
            <w:tcBorders>
              <w:top w:val="nil"/>
              <w:left w:val="nil"/>
              <w:bottom w:val="nil"/>
              <w:right w:val="nil"/>
            </w:tcBorders>
            <w:shd w:val="clear" w:color="auto" w:fill="auto"/>
            <w:noWrap/>
            <w:tcMar>
              <w:top w:w="15" w:type="dxa"/>
              <w:left w:w="15" w:type="dxa"/>
              <w:right w:w="15" w:type="dxa"/>
            </w:tcMar>
            <w:vAlign w:val="top"/>
          </w:tcPr>
          <w:p>
            <w:pPr>
              <w:keepNext w:val="0"/>
              <w:keepLines w:val="0"/>
              <w:widowControl/>
              <w:suppressLineNumbers w:val="0"/>
              <w:spacing w:line="240" w:lineRule="auto"/>
              <w:jc w:val="center"/>
              <w:textAlignment w:val="top"/>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（2021年度）</w:t>
            </w:r>
          </w:p>
        </w:tc>
      </w:tr>
      <w:tr>
        <w:tblPrEx>
          <w:shd w:val="clear" w:color="auto" w:fill="auto"/>
          <w:tblCellMar>
            <w:top w:w="0" w:type="dxa"/>
            <w:left w:w="0" w:type="dxa"/>
            <w:bottom w:w="0" w:type="dxa"/>
            <w:right w:w="0" w:type="dxa"/>
          </w:tblCellMar>
        </w:tblPrEx>
        <w:trPr>
          <w:trHeight w:val="480" w:hRule="atLeast"/>
        </w:trPr>
        <w:tc>
          <w:tcPr>
            <w:tcW w:w="5000" w:type="pct"/>
            <w:gridSpan w:val="11"/>
            <w:tcBorders>
              <w:top w:val="nil"/>
              <w:left w:val="nil"/>
              <w:bottom w:val="single" w:color="000000" w:sz="4" w:space="0"/>
              <w:right w:val="nil"/>
            </w:tcBorders>
            <w:shd w:val="clear" w:color="auto" w:fill="auto"/>
            <w:noWrap/>
            <w:tcMar>
              <w:top w:w="15" w:type="dxa"/>
              <w:left w:w="15" w:type="dxa"/>
              <w:right w:w="15" w:type="dxa"/>
            </w:tcMar>
            <w:vAlign w:val="center"/>
          </w:tcPr>
          <w:p>
            <w:pPr>
              <w:keepNext w:val="0"/>
              <w:keepLines w:val="0"/>
              <w:widowControl/>
              <w:suppressLineNumbers w:val="0"/>
              <w:spacing w:line="240" w:lineRule="auto"/>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填表人及联系方式：                        </w:t>
            </w:r>
          </w:p>
        </w:tc>
      </w:tr>
      <w:tr>
        <w:tblPrEx>
          <w:shd w:val="clear" w:color="auto" w:fill="auto"/>
          <w:tblCellMar>
            <w:top w:w="0" w:type="dxa"/>
            <w:left w:w="0" w:type="dxa"/>
            <w:bottom w:w="0" w:type="dxa"/>
            <w:right w:w="0" w:type="dxa"/>
          </w:tblCellMar>
        </w:tblPrEx>
        <w:trPr>
          <w:trHeight w:val="379" w:hRule="atLeast"/>
        </w:trPr>
        <w:tc>
          <w:tcPr>
            <w:tcW w:w="85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项目名称</w:t>
            </w:r>
          </w:p>
        </w:tc>
        <w:tc>
          <w:tcPr>
            <w:tcW w:w="4146" w:type="pct"/>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侨务专项经费（侨联）</w:t>
            </w:r>
          </w:p>
        </w:tc>
      </w:tr>
      <w:tr>
        <w:tblPrEx>
          <w:shd w:val="clear" w:color="auto" w:fill="auto"/>
          <w:tblCellMar>
            <w:top w:w="0" w:type="dxa"/>
            <w:left w:w="0" w:type="dxa"/>
            <w:bottom w:w="0" w:type="dxa"/>
            <w:right w:w="0" w:type="dxa"/>
          </w:tblCellMar>
        </w:tblPrEx>
        <w:trPr>
          <w:trHeight w:val="379" w:hRule="atLeast"/>
        </w:trPr>
        <w:tc>
          <w:tcPr>
            <w:tcW w:w="85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主管部门及代码</w:t>
            </w:r>
          </w:p>
        </w:tc>
        <w:tc>
          <w:tcPr>
            <w:tcW w:w="2381"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中共三门峡市委统一战线工作部</w:t>
            </w:r>
          </w:p>
        </w:tc>
        <w:tc>
          <w:tcPr>
            <w:tcW w:w="51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实施单位</w:t>
            </w:r>
          </w:p>
        </w:tc>
        <w:tc>
          <w:tcPr>
            <w:tcW w:w="1246" w:type="pct"/>
            <w:gridSpan w:val="4"/>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中共三门峡市委统一战线工作部</w:t>
            </w:r>
          </w:p>
        </w:tc>
      </w:tr>
      <w:tr>
        <w:tblPrEx>
          <w:shd w:val="clear" w:color="auto" w:fill="auto"/>
          <w:tblCellMar>
            <w:top w:w="0" w:type="dxa"/>
            <w:left w:w="0" w:type="dxa"/>
            <w:bottom w:w="0" w:type="dxa"/>
            <w:right w:w="0" w:type="dxa"/>
          </w:tblCellMar>
        </w:tblPrEx>
        <w:trPr>
          <w:trHeight w:val="379" w:hRule="atLeast"/>
        </w:trPr>
        <w:tc>
          <w:tcPr>
            <w:tcW w:w="853" w:type="pct"/>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项目资金</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（万元）</w:t>
            </w:r>
          </w:p>
        </w:tc>
        <w:tc>
          <w:tcPr>
            <w:tcW w:w="1400"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6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年初预算数</w:t>
            </w:r>
          </w:p>
        </w:tc>
        <w:tc>
          <w:tcPr>
            <w:tcW w:w="51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全年预算数</w:t>
            </w:r>
          </w:p>
        </w:tc>
        <w:tc>
          <w:tcPr>
            <w:tcW w:w="51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全年执行数</w:t>
            </w:r>
          </w:p>
        </w:tc>
        <w:tc>
          <w:tcPr>
            <w:tcW w:w="33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分值</w:t>
            </w:r>
          </w:p>
        </w:tc>
        <w:tc>
          <w:tcPr>
            <w:tcW w:w="53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执行率</w:t>
            </w:r>
          </w:p>
        </w:tc>
        <w:tc>
          <w:tcPr>
            <w:tcW w:w="37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得分</w:t>
            </w:r>
          </w:p>
        </w:tc>
      </w:tr>
      <w:tr>
        <w:tblPrEx>
          <w:shd w:val="clear" w:color="auto" w:fill="auto"/>
          <w:tblCellMar>
            <w:top w:w="0" w:type="dxa"/>
            <w:left w:w="0" w:type="dxa"/>
            <w:bottom w:w="0" w:type="dxa"/>
            <w:right w:w="0" w:type="dxa"/>
          </w:tblCellMar>
        </w:tblPrEx>
        <w:trPr>
          <w:trHeight w:val="379" w:hRule="atLeast"/>
        </w:trPr>
        <w:tc>
          <w:tcPr>
            <w:tcW w:w="853"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1400"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年度资金总额</w:t>
            </w:r>
          </w:p>
        </w:tc>
        <w:tc>
          <w:tcPr>
            <w:tcW w:w="46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51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51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33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53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w:t>
            </w:r>
          </w:p>
        </w:tc>
        <w:tc>
          <w:tcPr>
            <w:tcW w:w="37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r>
      <w:tr>
        <w:tblPrEx>
          <w:shd w:val="clear" w:color="auto" w:fill="auto"/>
          <w:tblCellMar>
            <w:top w:w="0" w:type="dxa"/>
            <w:left w:w="0" w:type="dxa"/>
            <w:bottom w:w="0" w:type="dxa"/>
            <w:right w:w="0" w:type="dxa"/>
          </w:tblCellMar>
        </w:tblPrEx>
        <w:trPr>
          <w:trHeight w:val="379" w:hRule="atLeast"/>
        </w:trPr>
        <w:tc>
          <w:tcPr>
            <w:tcW w:w="853"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1400"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其中：当年财政拨款</w:t>
            </w:r>
          </w:p>
        </w:tc>
        <w:tc>
          <w:tcPr>
            <w:tcW w:w="46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51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51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33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53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w:t>
            </w:r>
          </w:p>
        </w:tc>
        <w:tc>
          <w:tcPr>
            <w:tcW w:w="37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0" w:type="dxa"/>
            <w:bottom w:w="0" w:type="dxa"/>
            <w:right w:w="0" w:type="dxa"/>
          </w:tblCellMar>
        </w:tblPrEx>
        <w:trPr>
          <w:trHeight w:val="379" w:hRule="atLeast"/>
        </w:trPr>
        <w:tc>
          <w:tcPr>
            <w:tcW w:w="853"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1400"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其他资金</w:t>
            </w:r>
          </w:p>
        </w:tc>
        <w:tc>
          <w:tcPr>
            <w:tcW w:w="46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51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51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33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53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37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0" w:type="dxa"/>
            <w:bottom w:w="0" w:type="dxa"/>
            <w:right w:w="0" w:type="dxa"/>
          </w:tblCellMar>
        </w:tblPrEx>
        <w:trPr>
          <w:trHeight w:val="379" w:hRule="atLeast"/>
        </w:trPr>
        <w:tc>
          <w:tcPr>
            <w:tcW w:w="456"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年度总体目标</w:t>
            </w:r>
          </w:p>
        </w:tc>
        <w:tc>
          <w:tcPr>
            <w:tcW w:w="2778"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预期目标</w:t>
            </w:r>
          </w:p>
        </w:tc>
        <w:tc>
          <w:tcPr>
            <w:tcW w:w="1765"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实际完成情况</w:t>
            </w:r>
          </w:p>
        </w:tc>
      </w:tr>
      <w:tr>
        <w:tblPrEx>
          <w:shd w:val="clear" w:color="auto" w:fill="auto"/>
          <w:tblCellMar>
            <w:top w:w="0" w:type="dxa"/>
            <w:left w:w="0" w:type="dxa"/>
            <w:bottom w:w="0" w:type="dxa"/>
            <w:right w:w="0" w:type="dxa"/>
          </w:tblCellMar>
        </w:tblPrEx>
        <w:trPr>
          <w:trHeight w:val="1680" w:hRule="atLeast"/>
        </w:trPr>
        <w:tc>
          <w:tcPr>
            <w:tcW w:w="45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2778"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切为了归侨侨眷、一切依靠归侨侨眷的原则开展各项工作。通过举办海外归国留学人员联谊会、举办归侨侨眷联谊会及双节慰问等活动，充分调动广大归侨侨眷的积极性，凝聚侨心、集聚侨力，为三门峡市经济发展做贡献。时刻关心侨界群众生活，了解和掌握广大归侨侨眷和海外侨胞的愿望和要求，切实为侨界群众排忧解难，特别要关心归侨侨眷中的困难群体，动员各方力量扶贫济困，帮助解决实际困难。</w:t>
            </w:r>
          </w:p>
        </w:tc>
        <w:tc>
          <w:tcPr>
            <w:tcW w:w="1765"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已完成</w:t>
            </w:r>
          </w:p>
        </w:tc>
      </w:tr>
      <w:tr>
        <w:tblPrEx>
          <w:shd w:val="clear" w:color="auto" w:fill="auto"/>
        </w:tblPrEx>
        <w:trPr>
          <w:trHeight w:val="270" w:hRule="atLeast"/>
        </w:trPr>
        <w:tc>
          <w:tcPr>
            <w:tcW w:w="456"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绩</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效</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指</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标</w:t>
            </w:r>
          </w:p>
        </w:tc>
        <w:tc>
          <w:tcPr>
            <w:tcW w:w="39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48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137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三级指标</w:t>
            </w:r>
          </w:p>
        </w:tc>
        <w:tc>
          <w:tcPr>
            <w:tcW w:w="51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年度指标值</w:t>
            </w:r>
          </w:p>
        </w:tc>
        <w:tc>
          <w:tcPr>
            <w:tcW w:w="51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实际完成值</w:t>
            </w:r>
          </w:p>
        </w:tc>
        <w:tc>
          <w:tcPr>
            <w:tcW w:w="33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分值</w:t>
            </w:r>
          </w:p>
        </w:tc>
        <w:tc>
          <w:tcPr>
            <w:tcW w:w="37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得分</w:t>
            </w:r>
          </w:p>
        </w:tc>
        <w:tc>
          <w:tcPr>
            <w:tcW w:w="53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偏差原因分析及改进措施</w:t>
            </w:r>
          </w:p>
        </w:tc>
      </w:tr>
      <w:tr>
        <w:tblPrEx>
          <w:shd w:val="clear" w:color="auto" w:fill="auto"/>
          <w:tblCellMar>
            <w:top w:w="0" w:type="dxa"/>
            <w:left w:w="0" w:type="dxa"/>
            <w:bottom w:w="0" w:type="dxa"/>
            <w:right w:w="0" w:type="dxa"/>
          </w:tblCellMar>
        </w:tblPrEx>
        <w:trPr>
          <w:trHeight w:val="270" w:hRule="atLeast"/>
        </w:trPr>
        <w:tc>
          <w:tcPr>
            <w:tcW w:w="45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396"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出</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指</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标</w:t>
            </w:r>
          </w:p>
        </w:tc>
        <w:tc>
          <w:tcPr>
            <w:tcW w:w="486"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137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举办联谊会次数</w:t>
            </w:r>
          </w:p>
        </w:tc>
        <w:tc>
          <w:tcPr>
            <w:tcW w:w="51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6次</w:t>
            </w:r>
          </w:p>
        </w:tc>
        <w:tc>
          <w:tcPr>
            <w:tcW w:w="51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15次</w:t>
            </w:r>
          </w:p>
        </w:tc>
        <w:tc>
          <w:tcPr>
            <w:tcW w:w="33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37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53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270" w:hRule="atLeast"/>
        </w:trPr>
        <w:tc>
          <w:tcPr>
            <w:tcW w:w="45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8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137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慰问次数</w:t>
            </w:r>
          </w:p>
        </w:tc>
        <w:tc>
          <w:tcPr>
            <w:tcW w:w="51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2次</w:t>
            </w:r>
          </w:p>
        </w:tc>
        <w:tc>
          <w:tcPr>
            <w:tcW w:w="51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3次</w:t>
            </w:r>
          </w:p>
        </w:tc>
        <w:tc>
          <w:tcPr>
            <w:tcW w:w="33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37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53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auto"/>
        </w:tblPrEx>
        <w:trPr>
          <w:trHeight w:val="270" w:hRule="atLeast"/>
        </w:trPr>
        <w:tc>
          <w:tcPr>
            <w:tcW w:w="45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8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137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慰问人数</w:t>
            </w:r>
          </w:p>
        </w:tc>
        <w:tc>
          <w:tcPr>
            <w:tcW w:w="51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≥50人</w:t>
            </w:r>
          </w:p>
        </w:tc>
        <w:tc>
          <w:tcPr>
            <w:tcW w:w="51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≥50人</w:t>
            </w:r>
          </w:p>
        </w:tc>
        <w:tc>
          <w:tcPr>
            <w:tcW w:w="33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37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53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auto"/>
        </w:tblPrEx>
        <w:trPr>
          <w:trHeight w:val="270" w:hRule="atLeast"/>
        </w:trPr>
        <w:tc>
          <w:tcPr>
            <w:tcW w:w="45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8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137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召开会议次数</w:t>
            </w:r>
          </w:p>
        </w:tc>
        <w:tc>
          <w:tcPr>
            <w:tcW w:w="51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2次</w:t>
            </w:r>
          </w:p>
        </w:tc>
        <w:tc>
          <w:tcPr>
            <w:tcW w:w="51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bookmarkStart w:id="72" w:name="_GoBack"/>
            <w:bookmarkEnd w:id="72"/>
            <w:r>
              <w:rPr>
                <w:rFonts w:hint="eastAsia" w:ascii="宋体" w:hAnsi="宋体" w:eastAsia="宋体" w:cs="宋体"/>
                <w:i w:val="0"/>
                <w:color w:val="000000"/>
                <w:kern w:val="0"/>
                <w:sz w:val="18"/>
                <w:szCs w:val="18"/>
                <w:u w:val="none"/>
                <w:lang w:val="en-US" w:eastAsia="zh-CN" w:bidi="ar"/>
              </w:rPr>
              <w:t>2次</w:t>
            </w:r>
          </w:p>
        </w:tc>
        <w:tc>
          <w:tcPr>
            <w:tcW w:w="33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37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53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270" w:hRule="atLeast"/>
        </w:trPr>
        <w:tc>
          <w:tcPr>
            <w:tcW w:w="45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86"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137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举办联谊会完成率</w:t>
            </w:r>
          </w:p>
        </w:tc>
        <w:tc>
          <w:tcPr>
            <w:tcW w:w="51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51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33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37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53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270" w:hRule="atLeast"/>
        </w:trPr>
        <w:tc>
          <w:tcPr>
            <w:tcW w:w="45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8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137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慰问完成率</w:t>
            </w:r>
          </w:p>
        </w:tc>
        <w:tc>
          <w:tcPr>
            <w:tcW w:w="51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51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33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37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53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270" w:hRule="atLeast"/>
        </w:trPr>
        <w:tc>
          <w:tcPr>
            <w:tcW w:w="45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8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137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召开会议到位率</w:t>
            </w:r>
          </w:p>
        </w:tc>
        <w:tc>
          <w:tcPr>
            <w:tcW w:w="51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51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96%</w:t>
            </w:r>
          </w:p>
        </w:tc>
        <w:tc>
          <w:tcPr>
            <w:tcW w:w="33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37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53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270" w:hRule="atLeast"/>
        </w:trPr>
        <w:tc>
          <w:tcPr>
            <w:tcW w:w="45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86"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137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举办联谊会及时性</w:t>
            </w:r>
          </w:p>
        </w:tc>
        <w:tc>
          <w:tcPr>
            <w:tcW w:w="51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w:t>
            </w:r>
          </w:p>
        </w:tc>
        <w:tc>
          <w:tcPr>
            <w:tcW w:w="51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达成预期指标</w:t>
            </w:r>
          </w:p>
        </w:tc>
        <w:tc>
          <w:tcPr>
            <w:tcW w:w="33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37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53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270" w:hRule="atLeast"/>
        </w:trPr>
        <w:tc>
          <w:tcPr>
            <w:tcW w:w="45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8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137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慰问及时性</w:t>
            </w:r>
          </w:p>
        </w:tc>
        <w:tc>
          <w:tcPr>
            <w:tcW w:w="51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w:t>
            </w:r>
          </w:p>
        </w:tc>
        <w:tc>
          <w:tcPr>
            <w:tcW w:w="51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达成预期指标</w:t>
            </w:r>
          </w:p>
        </w:tc>
        <w:tc>
          <w:tcPr>
            <w:tcW w:w="33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37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53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270" w:hRule="atLeast"/>
        </w:trPr>
        <w:tc>
          <w:tcPr>
            <w:tcW w:w="45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8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137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召开会议及时性</w:t>
            </w:r>
          </w:p>
        </w:tc>
        <w:tc>
          <w:tcPr>
            <w:tcW w:w="51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w:t>
            </w:r>
          </w:p>
        </w:tc>
        <w:tc>
          <w:tcPr>
            <w:tcW w:w="51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达成预期指标</w:t>
            </w:r>
          </w:p>
        </w:tc>
        <w:tc>
          <w:tcPr>
            <w:tcW w:w="33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37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53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270" w:hRule="atLeast"/>
        </w:trPr>
        <w:tc>
          <w:tcPr>
            <w:tcW w:w="45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8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137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项目总成本</w:t>
            </w:r>
          </w:p>
        </w:tc>
        <w:tc>
          <w:tcPr>
            <w:tcW w:w="51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≤10万</w:t>
            </w:r>
          </w:p>
        </w:tc>
        <w:tc>
          <w:tcPr>
            <w:tcW w:w="51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10万元</w:t>
            </w:r>
          </w:p>
        </w:tc>
        <w:tc>
          <w:tcPr>
            <w:tcW w:w="33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w:t>
            </w:r>
          </w:p>
        </w:tc>
        <w:tc>
          <w:tcPr>
            <w:tcW w:w="37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w:t>
            </w:r>
          </w:p>
        </w:tc>
        <w:tc>
          <w:tcPr>
            <w:tcW w:w="53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270" w:hRule="atLeast"/>
        </w:trPr>
        <w:tc>
          <w:tcPr>
            <w:tcW w:w="45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396"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效益指标</w:t>
            </w:r>
          </w:p>
        </w:tc>
        <w:tc>
          <w:tcPr>
            <w:tcW w:w="486"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137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关心归侨侨眷中的困难群体，动员各方力量扶贫济困，帮助解决实际困难。</w:t>
            </w:r>
          </w:p>
        </w:tc>
        <w:tc>
          <w:tcPr>
            <w:tcW w:w="51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帮助</w:t>
            </w:r>
          </w:p>
        </w:tc>
        <w:tc>
          <w:tcPr>
            <w:tcW w:w="51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达成预期指标</w:t>
            </w:r>
          </w:p>
        </w:tc>
        <w:tc>
          <w:tcPr>
            <w:tcW w:w="33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37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53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270" w:hRule="atLeast"/>
        </w:trPr>
        <w:tc>
          <w:tcPr>
            <w:tcW w:w="45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8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137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充分调动广大归侨侨眷的积极性，凝聚侨心、集聚侨力，为三门峡市经济发展做贡献</w:t>
            </w:r>
          </w:p>
        </w:tc>
        <w:tc>
          <w:tcPr>
            <w:tcW w:w="51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调动</w:t>
            </w:r>
          </w:p>
        </w:tc>
        <w:tc>
          <w:tcPr>
            <w:tcW w:w="51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达成预期指标</w:t>
            </w:r>
          </w:p>
        </w:tc>
        <w:tc>
          <w:tcPr>
            <w:tcW w:w="33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37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53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450" w:hRule="atLeast"/>
        </w:trPr>
        <w:tc>
          <w:tcPr>
            <w:tcW w:w="45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8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可持续影响指标</w:t>
            </w:r>
          </w:p>
        </w:tc>
        <w:tc>
          <w:tcPr>
            <w:tcW w:w="137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持续保持归侨侨眷和海外侨胞凝聚力</w:t>
            </w:r>
          </w:p>
        </w:tc>
        <w:tc>
          <w:tcPr>
            <w:tcW w:w="51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保持</w:t>
            </w:r>
          </w:p>
        </w:tc>
        <w:tc>
          <w:tcPr>
            <w:tcW w:w="51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达成预期指标</w:t>
            </w:r>
          </w:p>
        </w:tc>
        <w:tc>
          <w:tcPr>
            <w:tcW w:w="33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37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53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450" w:hRule="atLeast"/>
        </w:trPr>
        <w:tc>
          <w:tcPr>
            <w:tcW w:w="45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48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服务对象满意度指标</w:t>
            </w:r>
          </w:p>
        </w:tc>
        <w:tc>
          <w:tcPr>
            <w:tcW w:w="137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归侨侨眷满意度</w:t>
            </w:r>
          </w:p>
        </w:tc>
        <w:tc>
          <w:tcPr>
            <w:tcW w:w="51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51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98%</w:t>
            </w:r>
          </w:p>
        </w:tc>
        <w:tc>
          <w:tcPr>
            <w:tcW w:w="33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37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53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379" w:hRule="atLeast"/>
        </w:trPr>
        <w:tc>
          <w:tcPr>
            <w:tcW w:w="3753"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总分</w:t>
            </w:r>
          </w:p>
        </w:tc>
        <w:tc>
          <w:tcPr>
            <w:tcW w:w="33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37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96.0</w:t>
            </w:r>
          </w:p>
        </w:tc>
        <w:tc>
          <w:tcPr>
            <w:tcW w:w="53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auto"/>
        </w:tblPrEx>
        <w:trPr>
          <w:trHeight w:val="270" w:hRule="atLeast"/>
        </w:trPr>
        <w:tc>
          <w:tcPr>
            <w:tcW w:w="5000" w:type="pct"/>
            <w:gridSpan w:val="11"/>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注：1.绩效自评采取打分评价的形式，</w:t>
            </w:r>
            <w:r>
              <w:rPr>
                <w:rStyle w:val="31"/>
                <w:lang w:val="en-US" w:eastAsia="zh-CN" w:bidi="ar"/>
              </w:rPr>
              <w:t>原则上一级指标分值统一设置为：产出指标50分、效益指标30分、服务对象满意度10分、预算资金执行率10分。2.偏差原因分析及改进措施：说明偏离目标、不能完成目标的原因及改进措施。 3.定性指标根据指标完成情况分为达成预期指标、部分达成预期指标并具有一定效果、未达成预期指标且效果较差三档，分别按照该指标对应分值区间100％-80％(含)、80％-60％(含)、60％-0％合理确定分值。定量指标完成指标值的，记该指标所赋全部分值；未完成的，按照完成值与指标值的比例计分。</w:t>
            </w:r>
          </w:p>
        </w:tc>
      </w:tr>
      <w:tr>
        <w:tblPrEx>
          <w:shd w:val="clear" w:color="auto" w:fill="auto"/>
          <w:tblCellMar>
            <w:top w:w="0" w:type="dxa"/>
            <w:left w:w="0" w:type="dxa"/>
            <w:bottom w:w="0" w:type="dxa"/>
            <w:right w:w="0" w:type="dxa"/>
          </w:tblCellMar>
        </w:tblPrEx>
        <w:trPr>
          <w:trHeight w:val="450" w:hRule="atLeast"/>
        </w:trPr>
        <w:tc>
          <w:tcPr>
            <w:tcW w:w="5000" w:type="pct"/>
            <w:gridSpan w:val="11"/>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660" w:hRule="atLeast"/>
        </w:trPr>
        <w:tc>
          <w:tcPr>
            <w:tcW w:w="5000" w:type="pct"/>
            <w:gridSpan w:val="11"/>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bl>
    <w:p>
      <w:pPr>
        <w:tabs>
          <w:tab w:val="left" w:pos="1400"/>
        </w:tabs>
        <w:spacing w:line="20" w:lineRule="exact"/>
        <w:ind w:left="0" w:leftChars="0" w:firstLine="0" w:firstLineChars="0"/>
      </w:pPr>
    </w:p>
    <w:sectPr>
      <w:pgSz w:w="16838" w:h="11906" w:orient="landscape"/>
      <w:pgMar w:top="1797" w:right="1440" w:bottom="1797" w:left="1440" w:header="851" w:footer="992" w:gutter="0"/>
      <w:pgBorders>
        <w:top w:val="none" w:sz="0" w:space="0"/>
        <w:left w:val="none" w:sz="0" w:space="0"/>
        <w:bottom w:val="none" w:sz="0" w:space="0"/>
        <w:right w:val="none" w:sz="0" w:space="0"/>
      </w:pgBorders>
      <w:pgNumType w:fmt="decimal"/>
      <w:cols w:space="425" w:num="1"/>
      <w:docGrid w:type="linesAndChars" w:linePitch="312" w:charSpace="0"/>
    </w:sectPr>
  </w:body>
</w:document>
</file>

<file path=word/customizations.xml><?xml version="1.0" encoding="utf-8"?>
<wne:tcg xmlns:r="http://schemas.openxmlformats.org/officeDocument/2006/relationships" xmlns:wne="http://schemas.microsoft.com/office/word/2006/wordml">
  <wne:keymaps>
    <wne:keymap wne:kcmPrimary="0431">
      <wne:acd wne:acdName="acd0"/>
    </wne:keymap>
    <wne:keymap wne:kcmPrimary="0432">
      <wne:acd wne:acdName="acd1"/>
    </wne:keymap>
    <wne:keymap wne:kcmPrimary="0433">
      <wne:acd wne:acdName="acd2"/>
    </wne:keymap>
    <wne:keymap wne:kcmPrimary="0435">
      <wne:acd wne:acdName="acd3"/>
    </wne:keymap>
  </wne:keymaps>
  <wne:acds>
    <wne:acd wne:argValue="AQAAAAAA" wne:acdName="acd0" wne:fciIndexBasedOn="0065"/>
    <wne:acd wne:argValue="AQAAAAIA" wne:acdName="acd1" wne:fciIndexBasedOn="0065"/>
    <wne:acd wne:argValue="AQAAAAMA" wne:acdName="acd2" wne:fciIndexBasedOn="0065"/>
    <wne:acd wne:argValue="AgBoiDxo" wne:acdName="acd3"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roman"/>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等线 Light">
    <w:altName w:val="宋体"/>
    <w:panose1 w:val="02010600030101010101"/>
    <w:charset w:val="86"/>
    <w:family w:val="auto"/>
    <w:pitch w:val="default"/>
    <w:sig w:usb0="00000000" w:usb1="00000000" w:usb2="00000016" w:usb3="00000000" w:csb0="0004000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5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ind w:firstLine="560"/>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9"/>
                      <w:ind w:firstLine="560"/>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560"/>
    </w:pPr>
    <w:r>
      <w:rPr>
        <w:sz w:val="2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9"/>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F18868"/>
    <w:multiLevelType w:val="singleLevel"/>
    <w:tmpl w:val="41F18868"/>
    <w:lvl w:ilvl="0" w:tentative="0">
      <w:start w:val="1"/>
      <w:numFmt w:val="decimal"/>
      <w:suff w:val="nothing"/>
      <w:lvlText w:val="%1．"/>
      <w:lvlJc w:val="left"/>
      <w:pPr>
        <w:ind w:left="0" w:firstLine="4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28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AzOTdhZGU0ZjA2NmFkYzhlMGFjZTA1YzM1YWEzY2UifQ=="/>
  </w:docVars>
  <w:rsids>
    <w:rsidRoot w:val="006E18D1"/>
    <w:rsid w:val="00000467"/>
    <w:rsid w:val="00014831"/>
    <w:rsid w:val="00015EA2"/>
    <w:rsid w:val="00017BC4"/>
    <w:rsid w:val="00020A09"/>
    <w:rsid w:val="00033BB4"/>
    <w:rsid w:val="0003465C"/>
    <w:rsid w:val="0007513C"/>
    <w:rsid w:val="00084C11"/>
    <w:rsid w:val="000A5385"/>
    <w:rsid w:val="000A56EE"/>
    <w:rsid w:val="000E7769"/>
    <w:rsid w:val="00107A3B"/>
    <w:rsid w:val="00111C89"/>
    <w:rsid w:val="00114002"/>
    <w:rsid w:val="001209A1"/>
    <w:rsid w:val="00124E12"/>
    <w:rsid w:val="00134BDF"/>
    <w:rsid w:val="001372F1"/>
    <w:rsid w:val="00143FC7"/>
    <w:rsid w:val="00172020"/>
    <w:rsid w:val="00173BDA"/>
    <w:rsid w:val="00183550"/>
    <w:rsid w:val="00187CCE"/>
    <w:rsid w:val="00195B9E"/>
    <w:rsid w:val="001971D2"/>
    <w:rsid w:val="001B0C73"/>
    <w:rsid w:val="001B6E21"/>
    <w:rsid w:val="001C2BC4"/>
    <w:rsid w:val="001C4182"/>
    <w:rsid w:val="001D3BA3"/>
    <w:rsid w:val="001D6625"/>
    <w:rsid w:val="00206C6A"/>
    <w:rsid w:val="00224728"/>
    <w:rsid w:val="00227546"/>
    <w:rsid w:val="002507E2"/>
    <w:rsid w:val="002525ED"/>
    <w:rsid w:val="00252BB8"/>
    <w:rsid w:val="002649B8"/>
    <w:rsid w:val="00265560"/>
    <w:rsid w:val="002A61B1"/>
    <w:rsid w:val="002B6AB4"/>
    <w:rsid w:val="002B779B"/>
    <w:rsid w:val="002C32A5"/>
    <w:rsid w:val="002D335B"/>
    <w:rsid w:val="002E2F3F"/>
    <w:rsid w:val="002F169E"/>
    <w:rsid w:val="00302EE8"/>
    <w:rsid w:val="00303563"/>
    <w:rsid w:val="00335542"/>
    <w:rsid w:val="00337A20"/>
    <w:rsid w:val="003477C0"/>
    <w:rsid w:val="00357430"/>
    <w:rsid w:val="0035746E"/>
    <w:rsid w:val="003740DA"/>
    <w:rsid w:val="00397BDC"/>
    <w:rsid w:val="003C1582"/>
    <w:rsid w:val="003D69A6"/>
    <w:rsid w:val="003E1139"/>
    <w:rsid w:val="003E1513"/>
    <w:rsid w:val="003E56BE"/>
    <w:rsid w:val="003E5C49"/>
    <w:rsid w:val="003E69D2"/>
    <w:rsid w:val="00402DC2"/>
    <w:rsid w:val="004034F0"/>
    <w:rsid w:val="00410C6F"/>
    <w:rsid w:val="0042364F"/>
    <w:rsid w:val="004333B5"/>
    <w:rsid w:val="00441F6E"/>
    <w:rsid w:val="004478BE"/>
    <w:rsid w:val="004839E2"/>
    <w:rsid w:val="004869ED"/>
    <w:rsid w:val="00496DC4"/>
    <w:rsid w:val="004B04EA"/>
    <w:rsid w:val="004B274D"/>
    <w:rsid w:val="004B59BE"/>
    <w:rsid w:val="004B702C"/>
    <w:rsid w:val="004C4A8B"/>
    <w:rsid w:val="004C73AE"/>
    <w:rsid w:val="004D1D02"/>
    <w:rsid w:val="004D38F1"/>
    <w:rsid w:val="004E5F55"/>
    <w:rsid w:val="00500253"/>
    <w:rsid w:val="00511AED"/>
    <w:rsid w:val="00532771"/>
    <w:rsid w:val="005360C8"/>
    <w:rsid w:val="00544CD5"/>
    <w:rsid w:val="00546688"/>
    <w:rsid w:val="005A1AFF"/>
    <w:rsid w:val="005A4096"/>
    <w:rsid w:val="005A5773"/>
    <w:rsid w:val="005B558F"/>
    <w:rsid w:val="005B5B94"/>
    <w:rsid w:val="005C4E72"/>
    <w:rsid w:val="005D1837"/>
    <w:rsid w:val="005D751E"/>
    <w:rsid w:val="005E2918"/>
    <w:rsid w:val="006067A5"/>
    <w:rsid w:val="00612F8F"/>
    <w:rsid w:val="00617387"/>
    <w:rsid w:val="006219B2"/>
    <w:rsid w:val="00634FF9"/>
    <w:rsid w:val="00636695"/>
    <w:rsid w:val="00642BB8"/>
    <w:rsid w:val="006447D8"/>
    <w:rsid w:val="006564C8"/>
    <w:rsid w:val="00671DEC"/>
    <w:rsid w:val="00682436"/>
    <w:rsid w:val="00687B10"/>
    <w:rsid w:val="00696AC7"/>
    <w:rsid w:val="006A0C3B"/>
    <w:rsid w:val="006E18D1"/>
    <w:rsid w:val="006F4D2E"/>
    <w:rsid w:val="006F7BD2"/>
    <w:rsid w:val="00707F5E"/>
    <w:rsid w:val="00722BF5"/>
    <w:rsid w:val="00722EB4"/>
    <w:rsid w:val="007245B6"/>
    <w:rsid w:val="00731FB1"/>
    <w:rsid w:val="00732859"/>
    <w:rsid w:val="00733D5C"/>
    <w:rsid w:val="00735E28"/>
    <w:rsid w:val="00761B7C"/>
    <w:rsid w:val="00766ECA"/>
    <w:rsid w:val="00775087"/>
    <w:rsid w:val="00787EC4"/>
    <w:rsid w:val="007D3F2B"/>
    <w:rsid w:val="007D46F5"/>
    <w:rsid w:val="007D5474"/>
    <w:rsid w:val="007E038E"/>
    <w:rsid w:val="007E3BBD"/>
    <w:rsid w:val="007E5459"/>
    <w:rsid w:val="007E62E5"/>
    <w:rsid w:val="00801C96"/>
    <w:rsid w:val="00824FE0"/>
    <w:rsid w:val="00834760"/>
    <w:rsid w:val="00847FDB"/>
    <w:rsid w:val="00865BF0"/>
    <w:rsid w:val="00881F40"/>
    <w:rsid w:val="00895EDD"/>
    <w:rsid w:val="008A0688"/>
    <w:rsid w:val="008A4705"/>
    <w:rsid w:val="008C005F"/>
    <w:rsid w:val="008C5DBA"/>
    <w:rsid w:val="008D1D7D"/>
    <w:rsid w:val="008E6B96"/>
    <w:rsid w:val="008F2D7E"/>
    <w:rsid w:val="008F4C9D"/>
    <w:rsid w:val="00934336"/>
    <w:rsid w:val="009422C0"/>
    <w:rsid w:val="00970DB8"/>
    <w:rsid w:val="009778B5"/>
    <w:rsid w:val="00984FD9"/>
    <w:rsid w:val="00987BBA"/>
    <w:rsid w:val="00996076"/>
    <w:rsid w:val="009A179D"/>
    <w:rsid w:val="009C3CD7"/>
    <w:rsid w:val="009D346F"/>
    <w:rsid w:val="009E1278"/>
    <w:rsid w:val="009E624C"/>
    <w:rsid w:val="009F1EC3"/>
    <w:rsid w:val="00A02EC6"/>
    <w:rsid w:val="00A06E53"/>
    <w:rsid w:val="00A1660B"/>
    <w:rsid w:val="00A31898"/>
    <w:rsid w:val="00A34962"/>
    <w:rsid w:val="00A40895"/>
    <w:rsid w:val="00A43398"/>
    <w:rsid w:val="00A44857"/>
    <w:rsid w:val="00A63B01"/>
    <w:rsid w:val="00A7105B"/>
    <w:rsid w:val="00A75DD3"/>
    <w:rsid w:val="00A82F02"/>
    <w:rsid w:val="00AB3EF4"/>
    <w:rsid w:val="00AC11B2"/>
    <w:rsid w:val="00AD4EBA"/>
    <w:rsid w:val="00AF224E"/>
    <w:rsid w:val="00AF6F73"/>
    <w:rsid w:val="00B14E63"/>
    <w:rsid w:val="00B40DB3"/>
    <w:rsid w:val="00B466AA"/>
    <w:rsid w:val="00B62F12"/>
    <w:rsid w:val="00B63496"/>
    <w:rsid w:val="00B81089"/>
    <w:rsid w:val="00B8648A"/>
    <w:rsid w:val="00BD7931"/>
    <w:rsid w:val="00BE677A"/>
    <w:rsid w:val="00C21D02"/>
    <w:rsid w:val="00C35AE1"/>
    <w:rsid w:val="00C66709"/>
    <w:rsid w:val="00C71C69"/>
    <w:rsid w:val="00C80024"/>
    <w:rsid w:val="00CB54A7"/>
    <w:rsid w:val="00CD2B60"/>
    <w:rsid w:val="00CF2DA9"/>
    <w:rsid w:val="00CF491C"/>
    <w:rsid w:val="00D07830"/>
    <w:rsid w:val="00D15E31"/>
    <w:rsid w:val="00D476C0"/>
    <w:rsid w:val="00D70EB7"/>
    <w:rsid w:val="00D7279B"/>
    <w:rsid w:val="00D9580A"/>
    <w:rsid w:val="00DA2131"/>
    <w:rsid w:val="00DA365D"/>
    <w:rsid w:val="00DC0EB4"/>
    <w:rsid w:val="00DD348E"/>
    <w:rsid w:val="00DD78B0"/>
    <w:rsid w:val="00E008C2"/>
    <w:rsid w:val="00E12715"/>
    <w:rsid w:val="00E24223"/>
    <w:rsid w:val="00E56A15"/>
    <w:rsid w:val="00E731B0"/>
    <w:rsid w:val="00E750CA"/>
    <w:rsid w:val="00E80793"/>
    <w:rsid w:val="00E81348"/>
    <w:rsid w:val="00E82D87"/>
    <w:rsid w:val="00E96285"/>
    <w:rsid w:val="00EB256C"/>
    <w:rsid w:val="00EB37C1"/>
    <w:rsid w:val="00ED2DB2"/>
    <w:rsid w:val="00EE3F62"/>
    <w:rsid w:val="00EE5338"/>
    <w:rsid w:val="00F03325"/>
    <w:rsid w:val="00F04028"/>
    <w:rsid w:val="00F10B47"/>
    <w:rsid w:val="00F37DD9"/>
    <w:rsid w:val="00F5485B"/>
    <w:rsid w:val="00F737AF"/>
    <w:rsid w:val="00F8011D"/>
    <w:rsid w:val="00F85591"/>
    <w:rsid w:val="00F93752"/>
    <w:rsid w:val="00FB028C"/>
    <w:rsid w:val="00FC619A"/>
    <w:rsid w:val="00FE4427"/>
    <w:rsid w:val="00FE5E78"/>
    <w:rsid w:val="00FF64F1"/>
    <w:rsid w:val="011448A2"/>
    <w:rsid w:val="01181797"/>
    <w:rsid w:val="01645940"/>
    <w:rsid w:val="030637C2"/>
    <w:rsid w:val="03C660F1"/>
    <w:rsid w:val="03FD00E3"/>
    <w:rsid w:val="042B4352"/>
    <w:rsid w:val="058C6794"/>
    <w:rsid w:val="06DD5138"/>
    <w:rsid w:val="06ED39E2"/>
    <w:rsid w:val="07342079"/>
    <w:rsid w:val="09034D82"/>
    <w:rsid w:val="0903667B"/>
    <w:rsid w:val="0AC86D72"/>
    <w:rsid w:val="0BFC35B1"/>
    <w:rsid w:val="0C28640C"/>
    <w:rsid w:val="0C2C679F"/>
    <w:rsid w:val="0DA43871"/>
    <w:rsid w:val="0EDB4FFC"/>
    <w:rsid w:val="0EE02FCE"/>
    <w:rsid w:val="0FAB4AF6"/>
    <w:rsid w:val="11D14067"/>
    <w:rsid w:val="13233FA4"/>
    <w:rsid w:val="136B3243"/>
    <w:rsid w:val="13D63887"/>
    <w:rsid w:val="15093F8D"/>
    <w:rsid w:val="1625101E"/>
    <w:rsid w:val="19524E73"/>
    <w:rsid w:val="19A60151"/>
    <w:rsid w:val="19D419FD"/>
    <w:rsid w:val="1B002515"/>
    <w:rsid w:val="1BA50EE0"/>
    <w:rsid w:val="1C1046A5"/>
    <w:rsid w:val="1CBF4C66"/>
    <w:rsid w:val="1E9F0BAF"/>
    <w:rsid w:val="201A2964"/>
    <w:rsid w:val="21032E75"/>
    <w:rsid w:val="210C52E7"/>
    <w:rsid w:val="22194B1A"/>
    <w:rsid w:val="22364F87"/>
    <w:rsid w:val="2449572C"/>
    <w:rsid w:val="2636356A"/>
    <w:rsid w:val="26B75F6B"/>
    <w:rsid w:val="28577A06"/>
    <w:rsid w:val="2A4D17E3"/>
    <w:rsid w:val="2AE845D1"/>
    <w:rsid w:val="2CFF241A"/>
    <w:rsid w:val="2DCE2518"/>
    <w:rsid w:val="30FD39D4"/>
    <w:rsid w:val="340A4177"/>
    <w:rsid w:val="3585534A"/>
    <w:rsid w:val="358D1218"/>
    <w:rsid w:val="37360FC5"/>
    <w:rsid w:val="390B472B"/>
    <w:rsid w:val="39F2109B"/>
    <w:rsid w:val="3B080524"/>
    <w:rsid w:val="3D3F3380"/>
    <w:rsid w:val="3D483404"/>
    <w:rsid w:val="3EA3313B"/>
    <w:rsid w:val="408C5853"/>
    <w:rsid w:val="40B208F7"/>
    <w:rsid w:val="414D61B8"/>
    <w:rsid w:val="41C47028"/>
    <w:rsid w:val="43CC70A2"/>
    <w:rsid w:val="441E6300"/>
    <w:rsid w:val="448E7607"/>
    <w:rsid w:val="44BF6C07"/>
    <w:rsid w:val="499F0DB5"/>
    <w:rsid w:val="4ABF0250"/>
    <w:rsid w:val="4BA46CA9"/>
    <w:rsid w:val="4E10242F"/>
    <w:rsid w:val="4E25508F"/>
    <w:rsid w:val="4E992DD9"/>
    <w:rsid w:val="50C37060"/>
    <w:rsid w:val="517843C5"/>
    <w:rsid w:val="533F163E"/>
    <w:rsid w:val="54280325"/>
    <w:rsid w:val="55236D3E"/>
    <w:rsid w:val="558772CD"/>
    <w:rsid w:val="55990837"/>
    <w:rsid w:val="55F834F4"/>
    <w:rsid w:val="598C3104"/>
    <w:rsid w:val="5E2D0D0D"/>
    <w:rsid w:val="5E901532"/>
    <w:rsid w:val="5FED43E9"/>
    <w:rsid w:val="61DE4D5C"/>
    <w:rsid w:val="631A355B"/>
    <w:rsid w:val="63BF54E2"/>
    <w:rsid w:val="64483A33"/>
    <w:rsid w:val="65091475"/>
    <w:rsid w:val="658B1094"/>
    <w:rsid w:val="65A17FA7"/>
    <w:rsid w:val="65BF660F"/>
    <w:rsid w:val="666D63A3"/>
    <w:rsid w:val="69312D5B"/>
    <w:rsid w:val="69524FB4"/>
    <w:rsid w:val="69B41E5D"/>
    <w:rsid w:val="6B32211E"/>
    <w:rsid w:val="6C2216A6"/>
    <w:rsid w:val="6C3E641F"/>
    <w:rsid w:val="6C635F46"/>
    <w:rsid w:val="6EB95294"/>
    <w:rsid w:val="70220904"/>
    <w:rsid w:val="70493BA2"/>
    <w:rsid w:val="71872A2F"/>
    <w:rsid w:val="72B8241C"/>
    <w:rsid w:val="74AD3F2D"/>
    <w:rsid w:val="76833263"/>
    <w:rsid w:val="77753743"/>
    <w:rsid w:val="78894D77"/>
    <w:rsid w:val="789E7920"/>
    <w:rsid w:val="79733024"/>
    <w:rsid w:val="7A2D121B"/>
    <w:rsid w:val="7A3331A9"/>
    <w:rsid w:val="7AD10FE6"/>
    <w:rsid w:val="7BF344C5"/>
    <w:rsid w:val="7BF34CA6"/>
    <w:rsid w:val="7C4915B6"/>
    <w:rsid w:val="7C747B75"/>
    <w:rsid w:val="7C892554"/>
    <w:rsid w:val="7D7A1128"/>
    <w:rsid w:val="7E9069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nhideWhenUsed="0" w:uiPriority="0" w:semiHidden="0" w:name="Body Text First Indent"/>
    <w:lsdException w:uiPriority="99" w:name="Body Text First Indent 2"/>
    <w:lsdException w:uiPriority="99" w:name="Note Heading"/>
    <w:lsdException w:unhideWhenUsed="0" w:uiPriority="0" w:semiHidden="0"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napToGrid w:val="0"/>
      <w:spacing w:line="560" w:lineRule="exact"/>
      <w:ind w:firstLine="1044" w:firstLineChars="200"/>
      <w:jc w:val="both"/>
    </w:pPr>
    <w:rPr>
      <w:rFonts w:ascii="仿宋" w:hAnsi="仿宋" w:eastAsia="仿宋" w:cstheme="minorBidi"/>
      <w:kern w:val="2"/>
      <w:sz w:val="32"/>
      <w:szCs w:val="32"/>
      <w:lang w:val="en-US" w:eastAsia="zh-CN" w:bidi="ar-SA"/>
    </w:rPr>
  </w:style>
  <w:style w:type="paragraph" w:styleId="3">
    <w:name w:val="heading 1"/>
    <w:basedOn w:val="1"/>
    <w:next w:val="1"/>
    <w:link w:val="16"/>
    <w:qFormat/>
    <w:uiPriority w:val="9"/>
    <w:pPr>
      <w:keepNext/>
      <w:keepLines/>
      <w:ind w:firstLine="0" w:firstLineChars="0"/>
      <w:jc w:val="left"/>
      <w:outlineLvl w:val="0"/>
    </w:pPr>
    <w:rPr>
      <w:rFonts w:ascii="黑体" w:hAnsi="黑体" w:eastAsia="黑体"/>
      <w:b/>
      <w:bCs/>
      <w:kern w:val="44"/>
    </w:rPr>
  </w:style>
  <w:style w:type="paragraph" w:styleId="4">
    <w:name w:val="heading 2"/>
    <w:basedOn w:val="1"/>
    <w:next w:val="5"/>
    <w:link w:val="18"/>
    <w:unhideWhenUsed/>
    <w:qFormat/>
    <w:uiPriority w:val="9"/>
    <w:pPr>
      <w:keepNext/>
      <w:keepLines/>
      <w:ind w:firstLine="0" w:firstLineChars="0"/>
      <w:jc w:val="left"/>
      <w:outlineLvl w:val="1"/>
    </w:pPr>
    <w:rPr>
      <w:rFonts w:ascii="楷体" w:hAnsi="楷体" w:eastAsia="楷体" w:cstheme="majorBidi"/>
      <w:b/>
      <w:bCs/>
    </w:rPr>
  </w:style>
  <w:style w:type="paragraph" w:styleId="5">
    <w:name w:val="heading 3"/>
    <w:basedOn w:val="1"/>
    <w:next w:val="1"/>
    <w:link w:val="21"/>
    <w:unhideWhenUsed/>
    <w:qFormat/>
    <w:uiPriority w:val="9"/>
    <w:pPr>
      <w:keepNext/>
      <w:keepLines/>
      <w:ind w:firstLine="200"/>
      <w:jc w:val="left"/>
      <w:outlineLvl w:val="2"/>
    </w:pPr>
    <w:rPr>
      <w:rFonts w:ascii="宋体" w:hAnsi="宋体"/>
      <w:b/>
      <w:bCs/>
    </w:rPr>
  </w:style>
  <w:style w:type="paragraph" w:styleId="6">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Cs w:val="28"/>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ind w:left="0" w:firstLine="638"/>
    </w:pPr>
    <w:rPr>
      <w:rFonts w:ascii="宋体" w:hAnsi="宋体" w:eastAsia="仿宋"/>
    </w:rPr>
  </w:style>
  <w:style w:type="paragraph" w:styleId="7">
    <w:name w:val="annotation text"/>
    <w:basedOn w:val="1"/>
    <w:qFormat/>
    <w:uiPriority w:val="0"/>
    <w:pPr>
      <w:jc w:val="left"/>
    </w:pPr>
  </w:style>
  <w:style w:type="paragraph" w:styleId="8">
    <w:name w:val="toc 3"/>
    <w:basedOn w:val="1"/>
    <w:next w:val="1"/>
    <w:unhideWhenUsed/>
    <w:qFormat/>
    <w:uiPriority w:val="39"/>
    <w:pPr>
      <w:ind w:left="840" w:leftChars="400"/>
    </w:pPr>
  </w:style>
  <w:style w:type="paragraph" w:styleId="9">
    <w:name w:val="footer"/>
    <w:basedOn w:val="1"/>
    <w:link w:val="20"/>
    <w:unhideWhenUsed/>
    <w:qFormat/>
    <w:uiPriority w:val="99"/>
    <w:pPr>
      <w:tabs>
        <w:tab w:val="center" w:pos="4153"/>
        <w:tab w:val="right" w:pos="8306"/>
      </w:tabs>
      <w:spacing w:line="240" w:lineRule="auto"/>
      <w:ind w:firstLine="0" w:firstLineChars="0"/>
      <w:jc w:val="left"/>
    </w:pPr>
    <w:rPr>
      <w:sz w:val="28"/>
      <w:szCs w:val="2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pacing w:line="240" w:lineRule="auto"/>
    </w:pPr>
    <w:rPr>
      <w:sz w:val="18"/>
    </w:rPr>
  </w:style>
  <w:style w:type="paragraph" w:styleId="11">
    <w:name w:val="toc 1"/>
    <w:basedOn w:val="1"/>
    <w:next w:val="1"/>
    <w:unhideWhenUsed/>
    <w:qFormat/>
    <w:uiPriority w:val="39"/>
    <w:pPr>
      <w:tabs>
        <w:tab w:val="right" w:leader="dot" w:pos="8296"/>
      </w:tabs>
      <w:ind w:firstLine="0" w:firstLineChars="0"/>
      <w:jc w:val="center"/>
    </w:pPr>
    <w:rPr>
      <w:b/>
    </w:rPr>
  </w:style>
  <w:style w:type="paragraph" w:styleId="12">
    <w:name w:val="toc 2"/>
    <w:basedOn w:val="1"/>
    <w:next w:val="1"/>
    <w:unhideWhenUsed/>
    <w:qFormat/>
    <w:uiPriority w:val="39"/>
    <w:pPr>
      <w:ind w:left="420" w:leftChars="200" w:firstLine="0" w:firstLineChars="0"/>
    </w:pPr>
  </w:style>
  <w:style w:type="table" w:styleId="14">
    <w:name w:val="Table Grid"/>
    <w:basedOn w:val="1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
    <w:name w:val="标题 1 字符"/>
    <w:basedOn w:val="15"/>
    <w:link w:val="3"/>
    <w:qFormat/>
    <w:uiPriority w:val="9"/>
    <w:rPr>
      <w:rFonts w:ascii="黑体" w:hAnsi="黑体" w:eastAsia="黑体"/>
      <w:b/>
      <w:bCs/>
      <w:kern w:val="44"/>
      <w:sz w:val="32"/>
      <w:szCs w:val="32"/>
    </w:rPr>
  </w:style>
  <w:style w:type="paragraph" w:customStyle="1" w:styleId="17">
    <w:name w:val="表格"/>
    <w:basedOn w:val="1"/>
    <w:next w:val="1"/>
    <w:qFormat/>
    <w:uiPriority w:val="0"/>
    <w:pPr>
      <w:spacing w:line="240" w:lineRule="auto"/>
      <w:ind w:firstLine="0" w:firstLineChars="0"/>
      <w:jc w:val="center"/>
    </w:pPr>
    <w:rPr>
      <w:rFonts w:ascii="Times New Roman" w:hAnsi="Times New Roman"/>
      <w:sz w:val="24"/>
      <w:szCs w:val="24"/>
    </w:rPr>
  </w:style>
  <w:style w:type="character" w:customStyle="1" w:styleId="18">
    <w:name w:val="标题 2 字符"/>
    <w:basedOn w:val="15"/>
    <w:link w:val="4"/>
    <w:qFormat/>
    <w:uiPriority w:val="9"/>
    <w:rPr>
      <w:rFonts w:ascii="楷体" w:hAnsi="楷体" w:eastAsia="楷体" w:cstheme="majorBidi"/>
      <w:b/>
      <w:bCs/>
      <w:kern w:val="2"/>
      <w:sz w:val="32"/>
      <w:szCs w:val="32"/>
    </w:rPr>
  </w:style>
  <w:style w:type="paragraph" w:customStyle="1" w:styleId="19">
    <w:name w:val="表头"/>
    <w:basedOn w:val="1"/>
    <w:next w:val="1"/>
    <w:qFormat/>
    <w:uiPriority w:val="0"/>
    <w:pPr>
      <w:spacing w:before="100" w:after="100"/>
      <w:jc w:val="center"/>
    </w:pPr>
    <w:rPr>
      <w:rFonts w:ascii="Times New Roman" w:hAnsi="Times New Roman"/>
      <w:b/>
      <w:bCs/>
      <w:szCs w:val="28"/>
    </w:rPr>
  </w:style>
  <w:style w:type="character" w:customStyle="1" w:styleId="20">
    <w:name w:val="页脚 字符"/>
    <w:basedOn w:val="15"/>
    <w:link w:val="9"/>
    <w:qFormat/>
    <w:uiPriority w:val="99"/>
    <w:rPr>
      <w:rFonts w:eastAsia="仿宋"/>
      <w:sz w:val="28"/>
      <w:szCs w:val="28"/>
    </w:rPr>
  </w:style>
  <w:style w:type="character" w:customStyle="1" w:styleId="21">
    <w:name w:val="标题 3 字符"/>
    <w:basedOn w:val="15"/>
    <w:link w:val="5"/>
    <w:qFormat/>
    <w:uiPriority w:val="9"/>
    <w:rPr>
      <w:rFonts w:ascii="宋体" w:hAnsi="宋体" w:eastAsia="仿宋"/>
      <w:b/>
      <w:bCs/>
      <w:kern w:val="2"/>
      <w:sz w:val="32"/>
      <w:szCs w:val="32"/>
    </w:rPr>
  </w:style>
  <w:style w:type="character" w:customStyle="1" w:styleId="22">
    <w:name w:val="标题 4 字符"/>
    <w:basedOn w:val="15"/>
    <w:link w:val="6"/>
    <w:semiHidden/>
    <w:qFormat/>
    <w:uiPriority w:val="9"/>
    <w:rPr>
      <w:rFonts w:asciiTheme="majorHAnsi" w:hAnsiTheme="majorHAnsi" w:eastAsiaTheme="majorEastAsia" w:cstheme="majorBidi"/>
      <w:b/>
      <w:bCs/>
      <w:kern w:val="2"/>
      <w:sz w:val="28"/>
      <w:szCs w:val="28"/>
    </w:rPr>
  </w:style>
  <w:style w:type="paragraph" w:customStyle="1" w:styleId="23">
    <w:name w:val="本模板"/>
    <w:basedOn w:val="1"/>
    <w:next w:val="1"/>
    <w:qFormat/>
    <w:uiPriority w:val="0"/>
    <w:pPr>
      <w:ind w:firstLine="0" w:firstLineChars="0"/>
      <w:jc w:val="center"/>
    </w:pPr>
  </w:style>
  <w:style w:type="paragraph" w:customStyle="1" w:styleId="24">
    <w:name w:val="由"/>
    <w:basedOn w:val="1"/>
    <w:qFormat/>
    <w:uiPriority w:val="0"/>
    <w:pPr>
      <w:ind w:firstLine="0" w:firstLineChars="0"/>
      <w:jc w:val="center"/>
    </w:pPr>
  </w:style>
  <w:style w:type="paragraph" w:customStyle="1" w:styleId="25">
    <w:name w:val="昭元绩效"/>
    <w:basedOn w:val="1"/>
    <w:qFormat/>
    <w:uiPriority w:val="0"/>
    <w:pPr>
      <w:spacing w:line="360" w:lineRule="auto"/>
      <w:ind w:firstLine="0" w:firstLineChars="0"/>
      <w:jc w:val="center"/>
    </w:pPr>
    <w:rPr>
      <w:rFonts w:eastAsia="宋体"/>
      <w:b/>
      <w:bCs/>
      <w:sz w:val="44"/>
      <w:szCs w:val="44"/>
    </w:rPr>
  </w:style>
  <w:style w:type="paragraph" w:customStyle="1" w:styleId="26">
    <w:name w:val="提供"/>
    <w:basedOn w:val="1"/>
    <w:qFormat/>
    <w:uiPriority w:val="0"/>
    <w:pPr>
      <w:ind w:firstLine="0" w:firstLineChars="0"/>
      <w:jc w:val="center"/>
    </w:pPr>
  </w:style>
  <w:style w:type="paragraph" w:customStyle="1" w:styleId="27">
    <w:name w:val="版权所有"/>
    <w:basedOn w:val="1"/>
    <w:qFormat/>
    <w:uiPriority w:val="0"/>
    <w:pPr>
      <w:ind w:firstLine="0" w:firstLineChars="0"/>
      <w:jc w:val="center"/>
    </w:pPr>
  </w:style>
  <w:style w:type="paragraph" w:customStyle="1" w:styleId="28">
    <w:name w:val="电话15515993457"/>
    <w:basedOn w:val="1"/>
    <w:qFormat/>
    <w:uiPriority w:val="0"/>
    <w:pPr>
      <w:ind w:firstLine="0" w:firstLineChars="0"/>
      <w:jc w:val="center"/>
    </w:pPr>
  </w:style>
  <w:style w:type="character" w:customStyle="1" w:styleId="29">
    <w:name w:val="font71"/>
    <w:basedOn w:val="15"/>
    <w:qFormat/>
    <w:uiPriority w:val="0"/>
    <w:rPr>
      <w:rFonts w:hint="eastAsia" w:ascii="宋体" w:hAnsi="宋体" w:eastAsia="宋体" w:cs="宋体"/>
      <w:color w:val="000000"/>
      <w:sz w:val="18"/>
      <w:szCs w:val="18"/>
      <w:u w:val="none"/>
    </w:rPr>
  </w:style>
  <w:style w:type="character" w:customStyle="1" w:styleId="30">
    <w:name w:val="font61"/>
    <w:basedOn w:val="15"/>
    <w:qFormat/>
    <w:uiPriority w:val="0"/>
    <w:rPr>
      <w:rFonts w:hint="eastAsia" w:ascii="宋体" w:hAnsi="宋体" w:eastAsia="宋体" w:cs="宋体"/>
      <w:color w:val="000000"/>
      <w:sz w:val="18"/>
      <w:szCs w:val="18"/>
      <w:u w:val="none"/>
    </w:rPr>
  </w:style>
  <w:style w:type="character" w:customStyle="1" w:styleId="31">
    <w:name w:val="font41"/>
    <w:basedOn w:val="15"/>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99D5DC-E1BF-468F-8212-19D77A8739EF}">
  <ds:schemaRefs/>
</ds:datastoreItem>
</file>

<file path=docProps/app.xml><?xml version="1.0" encoding="utf-8"?>
<Properties xmlns="http://schemas.openxmlformats.org/officeDocument/2006/extended-properties" xmlns:vt="http://schemas.openxmlformats.org/officeDocument/2006/docPropsVTypes">
  <Template>Normal.dotm</Template>
  <Manager>郭良雨</Manager>
  <Company>昭元绩效</Company>
  <Pages>15</Pages>
  <Words>5971</Words>
  <Characters>6236</Characters>
  <Lines>42</Lines>
  <Paragraphs>11</Paragraphs>
  <TotalTime>1</TotalTime>
  <ScaleCrop>false</ScaleCrop>
  <LinksUpToDate>false</LinksUpToDate>
  <CharactersWithSpaces>6292</CharactersWithSpaces>
  <Application>WPS Office_11.1.0.11805_F1E327BC-269C-435d-A152-05C5408002CA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15515993457</cp:category>
  <dcterms:created xsi:type="dcterms:W3CDTF">2021-08-08T08:37:00Z</dcterms:created>
  <dc:creator>hnzyzd@163.com; 昭元绩效</dc:creator>
  <dc:description>昭元自评模板</dc:description>
  <cp:keywords>15515993457</cp:keywords>
  <cp:lastModifiedBy>Administrator</cp:lastModifiedBy>
  <dcterms:modified xsi:type="dcterms:W3CDTF">2022-06-07T03:26:17Z</dcterms:modified>
  <dc:subject>15515993457</dc:subject>
  <dc:title>昭元自评模板</dc:title>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2052-11.1.0.11805</vt:lpwstr>
  </property>
  <property fmtid="{D5CDD505-2E9C-101B-9397-08002B2CF9AE}" pid="3" name="ICV">
    <vt:lpwstr>8040E5319DF8438F9AF461AC7598704D</vt:lpwstr>
  </property>
</Properties>
</file>