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pPr>
      <w:bookmarkStart w:id="0" w:name="_Toc11908"/>
    </w:p>
    <w:p>
      <w:pPr>
        <w:ind w:firstLine="0" w:firstLineChars="0"/>
        <w:jc w:val="center"/>
        <w:rPr>
          <w:rFonts w:ascii="宋体" w:hAnsi="宋体" w:eastAsia="宋体"/>
          <w:b/>
          <w:sz w:val="52"/>
          <w:szCs w:val="52"/>
        </w:rPr>
      </w:pPr>
    </w:p>
    <w:p>
      <w:pPr>
        <w:pStyle w:val="26"/>
        <w:rPr>
          <w:rFonts w:hint="eastAsia" w:ascii="宋体" w:hAnsi="宋体" w:cs="宋体"/>
          <w:sz w:val="52"/>
          <w:szCs w:val="52"/>
        </w:rPr>
      </w:pPr>
      <w:r>
        <w:rPr>
          <w:rFonts w:hint="eastAsia" w:ascii="宋体" w:hAnsi="宋体" w:cs="宋体"/>
          <w:sz w:val="52"/>
          <w:szCs w:val="52"/>
        </w:rPr>
        <w:t>对台工作专项经费</w:t>
      </w:r>
    </w:p>
    <w:p>
      <w:pPr>
        <w:pStyle w:val="26"/>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8"/>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highlight w:val="none"/>
        </w:rPr>
      </w:pPr>
    </w:p>
    <w:p>
      <w:pPr>
        <w:ind w:firstLine="0" w:firstLineChars="0"/>
        <w:jc w:val="center"/>
        <w:rPr>
          <w:rFonts w:hint="eastAsia"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yellow"/>
        </w:rPr>
      </w:pPr>
      <w:r>
        <w:rPr>
          <w:rFonts w:hint="eastAsia" w:ascii="宋体" w:hAnsi="宋体" w:eastAsia="宋体"/>
          <w:b/>
          <w:highlight w:val="none"/>
        </w:rPr>
        <w:t>日    期：2022年5月6日</w:t>
      </w:r>
    </w:p>
    <w:p>
      <w:pPr>
        <w:pStyle w:val="12"/>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_Toc15254 </w:instrText>
      </w:r>
      <w:r>
        <w:fldChar w:fldCharType="separate"/>
      </w:r>
      <w:r>
        <w:rPr>
          <w:rFonts w:hint="eastAsia"/>
        </w:rPr>
        <w:t>一、项目基本情况</w:t>
      </w:r>
      <w:r>
        <w:tab/>
      </w:r>
      <w:r>
        <w:fldChar w:fldCharType="begin"/>
      </w:r>
      <w:r>
        <w:instrText xml:space="preserve"> PAGEREF _Toc15254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_Toc17732 </w:instrText>
      </w:r>
      <w:r>
        <w:fldChar w:fldCharType="separate"/>
      </w:r>
      <w:r>
        <w:rPr>
          <w:rFonts w:hint="eastAsia"/>
        </w:rPr>
        <w:t>（一）项目基本信息</w:t>
      </w:r>
      <w:r>
        <w:tab/>
      </w:r>
      <w:r>
        <w:fldChar w:fldCharType="begin"/>
      </w:r>
      <w:r>
        <w:instrText xml:space="preserve"> PAGEREF _Toc17732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_Toc10366 </w:instrText>
      </w:r>
      <w:r>
        <w:fldChar w:fldCharType="separate"/>
      </w:r>
      <w:r>
        <w:rPr>
          <w:rFonts w:hint="eastAsia"/>
        </w:rPr>
        <w:t>（二）项目支出情况</w:t>
      </w:r>
      <w:r>
        <w:tab/>
      </w:r>
      <w:r>
        <w:fldChar w:fldCharType="begin"/>
      </w:r>
      <w:r>
        <w:instrText xml:space="preserve"> PAGEREF _Toc10366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_Toc8945 </w:instrText>
      </w:r>
      <w:r>
        <w:fldChar w:fldCharType="separate"/>
      </w:r>
      <w:r>
        <w:rPr>
          <w:rFonts w:hint="eastAsia"/>
          <w:highlight w:val="none"/>
        </w:rPr>
        <w:t>二、绩效自评工作开展情况</w:t>
      </w:r>
      <w:r>
        <w:tab/>
      </w:r>
      <w:r>
        <w:fldChar w:fldCharType="begin"/>
      </w:r>
      <w:r>
        <w:instrText xml:space="preserve"> PAGEREF _Toc8945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_Toc6242 </w:instrText>
      </w:r>
      <w:r>
        <w:fldChar w:fldCharType="separate"/>
      </w:r>
      <w:r>
        <w:rPr>
          <w:rFonts w:hint="eastAsia"/>
        </w:rPr>
        <w:t>（一）绩效自评价目的和意义</w:t>
      </w:r>
      <w:r>
        <w:tab/>
      </w:r>
      <w:r>
        <w:fldChar w:fldCharType="begin"/>
      </w:r>
      <w:r>
        <w:instrText xml:space="preserve"> PAGEREF _Toc6242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_Toc22054 </w:instrText>
      </w:r>
      <w:r>
        <w:fldChar w:fldCharType="separate"/>
      </w:r>
      <w:r>
        <w:rPr>
          <w:rFonts w:hint="eastAsia"/>
        </w:rPr>
        <w:t>（二）绩效自评价对象和范围</w:t>
      </w:r>
      <w:r>
        <w:tab/>
      </w:r>
      <w:r>
        <w:fldChar w:fldCharType="begin"/>
      </w:r>
      <w:r>
        <w:instrText xml:space="preserve"> PAGEREF _Toc22054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_Toc7492 </w:instrText>
      </w:r>
      <w:r>
        <w:fldChar w:fldCharType="separate"/>
      </w:r>
      <w:r>
        <w:rPr>
          <w:rFonts w:hint="eastAsia"/>
        </w:rPr>
        <w:t>（三）绩效评价的依据</w:t>
      </w:r>
      <w:r>
        <w:tab/>
      </w:r>
      <w:r>
        <w:fldChar w:fldCharType="begin"/>
      </w:r>
      <w:r>
        <w:instrText xml:space="preserve"> PAGEREF _Toc7492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_Toc30360 </w:instrText>
      </w:r>
      <w:r>
        <w:fldChar w:fldCharType="separate"/>
      </w:r>
      <w:r>
        <w:rPr>
          <w:rFonts w:hint="eastAsia"/>
        </w:rPr>
        <w:t>（四）评分方法</w:t>
      </w:r>
      <w:r>
        <w:tab/>
      </w:r>
      <w:r>
        <w:fldChar w:fldCharType="begin"/>
      </w:r>
      <w:r>
        <w:instrText xml:space="preserve"> PAGEREF _Toc30360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_Toc3779 </w:instrText>
      </w:r>
      <w:r>
        <w:fldChar w:fldCharType="separate"/>
      </w:r>
      <w:r>
        <w:rPr>
          <w:rFonts w:hint="eastAsia"/>
        </w:rPr>
        <w:t>（五）绩效自评工作组织</w:t>
      </w:r>
      <w:r>
        <w:tab/>
      </w:r>
      <w:r>
        <w:fldChar w:fldCharType="begin"/>
      </w:r>
      <w:r>
        <w:instrText xml:space="preserve"> PAGEREF _Toc3779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_Toc2369 </w:instrText>
      </w:r>
      <w:r>
        <w:fldChar w:fldCharType="separate"/>
      </w:r>
      <w:r>
        <w:rPr>
          <w:rFonts w:hint="eastAsia"/>
        </w:rPr>
        <w:t>三、绩效自评结果及分析</w:t>
      </w:r>
      <w:r>
        <w:tab/>
      </w:r>
      <w:r>
        <w:fldChar w:fldCharType="begin"/>
      </w:r>
      <w:r>
        <w:instrText xml:space="preserve"> PAGEREF _Toc2369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_Toc629 </w:instrText>
      </w:r>
      <w:r>
        <w:fldChar w:fldCharType="separate"/>
      </w:r>
      <w:r>
        <w:t>（一）绩效自评价结果</w:t>
      </w:r>
      <w:r>
        <w:tab/>
      </w:r>
      <w:r>
        <w:fldChar w:fldCharType="begin"/>
      </w:r>
      <w:r>
        <w:instrText xml:space="preserve"> PAGEREF _Toc629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_Toc1983 </w:instrText>
      </w:r>
      <w:r>
        <w:fldChar w:fldCharType="separate"/>
      </w:r>
      <w:r>
        <w:rPr>
          <w:rFonts w:hint="eastAsia"/>
        </w:rPr>
        <w:t>（二）自评指标分析</w:t>
      </w:r>
      <w:r>
        <w:tab/>
      </w:r>
      <w:r>
        <w:fldChar w:fldCharType="begin"/>
      </w:r>
      <w:r>
        <w:instrText xml:space="preserve"> PAGEREF _Toc1983 \h </w:instrText>
      </w:r>
      <w:r>
        <w:fldChar w:fldCharType="separate"/>
      </w:r>
      <w:r>
        <w:t>6</w:t>
      </w:r>
      <w:r>
        <w:fldChar w:fldCharType="end"/>
      </w:r>
      <w:r>
        <w:fldChar w:fldCharType="end"/>
      </w:r>
    </w:p>
    <w:p>
      <w:pPr>
        <w:pStyle w:val="12"/>
        <w:tabs>
          <w:tab w:val="right" w:leader="dot" w:pos="8306"/>
          <w:tab w:val="clear" w:pos="8296"/>
        </w:tabs>
      </w:pPr>
      <w:r>
        <w:fldChar w:fldCharType="begin"/>
      </w:r>
      <w:r>
        <w:instrText xml:space="preserve"> HYPERLINK \l _Toc25695 </w:instrText>
      </w:r>
      <w:r>
        <w:fldChar w:fldCharType="separate"/>
      </w:r>
      <w:r>
        <w:rPr>
          <w:rFonts w:hint="eastAsia"/>
        </w:rPr>
        <w:t>四、成果和问题</w:t>
      </w:r>
      <w:r>
        <w:tab/>
      </w:r>
      <w:r>
        <w:fldChar w:fldCharType="begin"/>
      </w:r>
      <w:r>
        <w:instrText xml:space="preserve"> PAGEREF _Toc25695 \h </w:instrText>
      </w:r>
      <w:r>
        <w:fldChar w:fldCharType="separate"/>
      </w:r>
      <w:r>
        <w:t>10</w:t>
      </w:r>
      <w:r>
        <w:fldChar w:fldCharType="end"/>
      </w:r>
      <w:r>
        <w:fldChar w:fldCharType="end"/>
      </w:r>
    </w:p>
    <w:p>
      <w:pPr>
        <w:pStyle w:val="13"/>
        <w:tabs>
          <w:tab w:val="right" w:leader="dot" w:pos="8306"/>
        </w:tabs>
      </w:pPr>
      <w:r>
        <w:fldChar w:fldCharType="begin"/>
      </w:r>
      <w:r>
        <w:instrText xml:space="preserve"> HYPERLINK \l _Toc2933 </w:instrText>
      </w:r>
      <w:r>
        <w:fldChar w:fldCharType="separate"/>
      </w:r>
      <w:r>
        <w:rPr>
          <w:rFonts w:hint="eastAsia"/>
        </w:rPr>
        <w:t>（一）项目实施的成果</w:t>
      </w:r>
      <w:r>
        <w:tab/>
      </w:r>
      <w:r>
        <w:fldChar w:fldCharType="begin"/>
      </w:r>
      <w:r>
        <w:instrText xml:space="preserve"> PAGEREF _Toc2933 \h </w:instrText>
      </w:r>
      <w:r>
        <w:fldChar w:fldCharType="separate"/>
      </w:r>
      <w:r>
        <w:t>10</w:t>
      </w:r>
      <w:r>
        <w:fldChar w:fldCharType="end"/>
      </w:r>
      <w:r>
        <w:fldChar w:fldCharType="end"/>
      </w:r>
    </w:p>
    <w:p>
      <w:pPr>
        <w:pStyle w:val="13"/>
        <w:tabs>
          <w:tab w:val="right" w:leader="dot" w:pos="8306"/>
        </w:tabs>
      </w:pPr>
      <w:r>
        <w:fldChar w:fldCharType="begin"/>
      </w:r>
      <w:r>
        <w:instrText xml:space="preserve"> HYPERLINK \l _Toc6143 </w:instrText>
      </w:r>
      <w:r>
        <w:fldChar w:fldCharType="separate"/>
      </w:r>
      <w:r>
        <w:rPr>
          <w:rFonts w:hint="eastAsia"/>
        </w:rPr>
        <w:t>（二）项目存在的问题</w:t>
      </w:r>
      <w:r>
        <w:tab/>
      </w:r>
      <w:r>
        <w:fldChar w:fldCharType="begin"/>
      </w:r>
      <w:r>
        <w:instrText xml:space="preserve"> PAGEREF _Toc6143 \h </w:instrText>
      </w:r>
      <w:r>
        <w:fldChar w:fldCharType="separate"/>
      </w:r>
      <w:r>
        <w:t>10</w:t>
      </w:r>
      <w:r>
        <w:fldChar w:fldCharType="end"/>
      </w:r>
      <w:r>
        <w:fldChar w:fldCharType="end"/>
      </w:r>
    </w:p>
    <w:p>
      <w:pPr>
        <w:pStyle w:val="12"/>
        <w:tabs>
          <w:tab w:val="right" w:leader="dot" w:pos="8306"/>
          <w:tab w:val="clear" w:pos="8296"/>
        </w:tabs>
      </w:pPr>
      <w:r>
        <w:fldChar w:fldCharType="begin"/>
      </w:r>
      <w:r>
        <w:instrText xml:space="preserve"> HYPERLINK \l _Toc747 </w:instrText>
      </w:r>
      <w:r>
        <w:fldChar w:fldCharType="separate"/>
      </w:r>
      <w:r>
        <w:rPr>
          <w:rFonts w:hint="eastAsia"/>
          <w:highlight w:val="none"/>
        </w:rPr>
        <w:t>五、建议</w:t>
      </w:r>
      <w:r>
        <w:tab/>
      </w:r>
      <w:r>
        <w:fldChar w:fldCharType="begin"/>
      </w:r>
      <w:r>
        <w:instrText xml:space="preserve"> PAGEREF _Toc747 \h </w:instrText>
      </w:r>
      <w:r>
        <w:fldChar w:fldCharType="separate"/>
      </w:r>
      <w:r>
        <w:t>11</w:t>
      </w:r>
      <w:r>
        <w:fldChar w:fldCharType="end"/>
      </w:r>
      <w:r>
        <w:fldChar w:fldCharType="end"/>
      </w:r>
    </w:p>
    <w:p>
      <w:pPr>
        <w:pStyle w:val="13"/>
        <w:tabs>
          <w:tab w:val="right" w:leader="dot" w:pos="8306"/>
        </w:tabs>
      </w:pPr>
      <w:r>
        <w:fldChar w:fldCharType="begin"/>
      </w:r>
      <w:r>
        <w:instrText xml:space="preserve"> HYPERLINK \l _Toc3771 </w:instrText>
      </w:r>
      <w:r>
        <w:fldChar w:fldCharType="separate"/>
      </w:r>
      <w:r>
        <w:rPr>
          <w:rFonts w:hint="eastAsia"/>
          <w:highlight w:val="none"/>
        </w:rPr>
        <w:t>（一）强化预算绩效管理意识，提升项目产出效益</w:t>
      </w:r>
      <w:r>
        <w:tab/>
      </w:r>
      <w:r>
        <w:fldChar w:fldCharType="begin"/>
      </w:r>
      <w:r>
        <w:instrText xml:space="preserve"> PAGEREF _Toc3771 \h </w:instrText>
      </w:r>
      <w:r>
        <w:fldChar w:fldCharType="separate"/>
      </w:r>
      <w:r>
        <w:t>11</w:t>
      </w:r>
      <w:r>
        <w:fldChar w:fldCharType="end"/>
      </w:r>
      <w:r>
        <w:fldChar w:fldCharType="end"/>
      </w:r>
    </w:p>
    <w:p>
      <w:pPr>
        <w:pStyle w:val="13"/>
        <w:tabs>
          <w:tab w:val="right" w:leader="dot" w:pos="8306"/>
        </w:tabs>
      </w:pPr>
      <w:r>
        <w:fldChar w:fldCharType="begin"/>
      </w:r>
      <w:r>
        <w:instrText xml:space="preserve"> HYPERLINK \l _Toc19202 </w:instrText>
      </w:r>
      <w:r>
        <w:fldChar w:fldCharType="separate"/>
      </w:r>
      <w:r>
        <w:rPr>
          <w:rFonts w:hint="eastAsia"/>
          <w:highlight w:val="none"/>
        </w:rPr>
        <w:t>（二）加强学习培训，进一步提高绩效管理水平</w:t>
      </w:r>
      <w:r>
        <w:tab/>
      </w:r>
      <w:r>
        <w:fldChar w:fldCharType="begin"/>
      </w:r>
      <w:r>
        <w:instrText xml:space="preserve"> PAGEREF _Toc19202 \h </w:instrText>
      </w:r>
      <w:r>
        <w:fldChar w:fldCharType="separate"/>
      </w:r>
      <w:r>
        <w:t>11</w:t>
      </w:r>
      <w:r>
        <w:fldChar w:fldCharType="end"/>
      </w:r>
      <w:r>
        <w:fldChar w:fldCharType="end"/>
      </w:r>
    </w:p>
    <w:p>
      <w:pPr>
        <w:pStyle w:val="12"/>
        <w:tabs>
          <w:tab w:val="right" w:leader="dot" w:pos="8306"/>
          <w:tab w:val="clear" w:pos="8296"/>
        </w:tabs>
      </w:pPr>
      <w:r>
        <w:fldChar w:fldCharType="begin"/>
      </w:r>
      <w:r>
        <w:instrText xml:space="preserve"> HYPERLINK \l _Toc26292 </w:instrText>
      </w:r>
      <w:r>
        <w:fldChar w:fldCharType="separate"/>
      </w:r>
      <w:r>
        <w:rPr>
          <w:rFonts w:hint="eastAsia"/>
          <w:highlight w:val="none"/>
        </w:rPr>
        <w:t>六、其他需要说明的问题</w:t>
      </w:r>
      <w:r>
        <w:tab/>
      </w:r>
      <w:r>
        <w:fldChar w:fldCharType="begin"/>
      </w:r>
      <w:r>
        <w:instrText xml:space="preserve"> PAGEREF _Toc26292 \h </w:instrText>
      </w:r>
      <w:r>
        <w:fldChar w:fldCharType="separate"/>
      </w:r>
      <w:r>
        <w:t>11</w:t>
      </w:r>
      <w:r>
        <w:fldChar w:fldCharType="end"/>
      </w:r>
      <w:r>
        <w:fldChar w:fldCharType="end"/>
      </w:r>
    </w:p>
    <w:p>
      <w:pPr>
        <w:pStyle w:val="12"/>
        <w:tabs>
          <w:tab w:val="right" w:leader="dot" w:pos="8306"/>
          <w:tab w:val="clear" w:pos="8296"/>
        </w:tabs>
      </w:pPr>
      <w:r>
        <w:fldChar w:fldCharType="begin"/>
      </w:r>
      <w:r>
        <w:instrText xml:space="preserve"> HYPERLINK \l _Toc4856 </w:instrText>
      </w:r>
      <w:r>
        <w:fldChar w:fldCharType="separate"/>
      </w:r>
      <w:r>
        <w:rPr>
          <w:rFonts w:hint="eastAsia"/>
        </w:rPr>
        <w:t>七、附件</w:t>
      </w:r>
      <w:r>
        <w:tab/>
      </w:r>
      <w:r>
        <w:fldChar w:fldCharType="begin"/>
      </w:r>
      <w:r>
        <w:instrText xml:space="preserve"> PAGEREF _Toc4856 \h </w:instrText>
      </w:r>
      <w:r>
        <w:fldChar w:fldCharType="separate"/>
      </w:r>
      <w:r>
        <w:t>11</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4"/>
      </w:pPr>
      <w:bookmarkStart w:id="1" w:name="_Toc15254"/>
      <w:bookmarkStart w:id="2" w:name="_Toc79333430"/>
      <w:r>
        <w:rPr>
          <w:rFonts w:hint="eastAsia"/>
        </w:rPr>
        <w:t>一、项目基本情况</w:t>
      </w:r>
      <w:bookmarkEnd w:id="0"/>
      <w:bookmarkEnd w:id="1"/>
      <w:bookmarkEnd w:id="2"/>
    </w:p>
    <w:p>
      <w:pPr>
        <w:pStyle w:val="5"/>
      </w:pPr>
      <w:bookmarkStart w:id="3" w:name="_Toc17732"/>
      <w:bookmarkStart w:id="4" w:name="_Toc8110"/>
      <w:bookmarkStart w:id="5" w:name="_Toc79333431"/>
      <w:r>
        <w:rPr>
          <w:rFonts w:hint="eastAsia"/>
        </w:rPr>
        <w:t>（一）项目基本信息</w:t>
      </w:r>
      <w:bookmarkEnd w:id="3"/>
      <w:bookmarkEnd w:id="4"/>
      <w:bookmarkEnd w:id="5"/>
    </w:p>
    <w:p>
      <w:pPr>
        <w:pStyle w:val="6"/>
        <w:ind w:firstLine="643"/>
        <w:rPr>
          <w:rFonts w:hint="eastAsia" w:eastAsia="仿宋"/>
          <w:lang w:val="en-US" w:eastAsia="zh-CN"/>
        </w:rPr>
      </w:pPr>
      <w:bookmarkStart w:id="6" w:name="_Toc79333432"/>
      <w:r>
        <w:rPr>
          <w:rFonts w:hint="eastAsia"/>
        </w:rPr>
        <w:t>1、项目背景</w:t>
      </w:r>
      <w:bookmarkEnd w:id="6"/>
    </w:p>
    <w:p>
      <w:pPr>
        <w:pStyle w:val="6"/>
        <w:ind w:firstLine="643"/>
        <w:rPr>
          <w:rFonts w:hint="eastAsia" w:ascii="仿宋" w:hAnsi="仿宋" w:eastAsia="仿宋" w:cstheme="minorBidi"/>
          <w:b w:val="0"/>
          <w:bCs w:val="0"/>
          <w:kern w:val="2"/>
          <w:sz w:val="32"/>
          <w:szCs w:val="32"/>
          <w:highlight w:val="none"/>
          <w:lang w:val="en-US" w:eastAsia="zh-CN" w:bidi="ar-SA"/>
        </w:rPr>
      </w:pPr>
      <w:bookmarkStart w:id="7" w:name="_Toc79333433"/>
      <w:r>
        <w:rPr>
          <w:rFonts w:hint="eastAsia" w:ascii="仿宋" w:hAnsi="仿宋" w:eastAsia="仿宋" w:cstheme="minorBidi"/>
          <w:b w:val="0"/>
          <w:bCs w:val="0"/>
          <w:kern w:val="2"/>
          <w:sz w:val="32"/>
          <w:szCs w:val="32"/>
          <w:highlight w:val="none"/>
          <w:lang w:val="en-US" w:eastAsia="zh-CN" w:bidi="ar-SA"/>
        </w:rPr>
        <w:t>用于接待对台交流、考察方面的各界人士所产生的接待经费。加强与有代表性河南籍</w:t>
      </w:r>
      <w:r>
        <w:rPr>
          <w:rFonts w:hint="eastAsia" w:ascii="仿宋" w:hAnsi="仿宋" w:cstheme="minorBidi"/>
          <w:b w:val="0"/>
          <w:bCs w:val="0"/>
          <w:kern w:val="2"/>
          <w:sz w:val="32"/>
          <w:szCs w:val="32"/>
          <w:highlight w:val="none"/>
          <w:lang w:val="en-US" w:eastAsia="zh-CN" w:bidi="ar-SA"/>
        </w:rPr>
        <w:t>台胞</w:t>
      </w:r>
      <w:r>
        <w:rPr>
          <w:rFonts w:hint="eastAsia" w:ascii="仿宋" w:hAnsi="仿宋" w:eastAsia="仿宋" w:cstheme="minorBidi"/>
          <w:b w:val="0"/>
          <w:bCs w:val="0"/>
          <w:kern w:val="2"/>
          <w:sz w:val="32"/>
          <w:szCs w:val="32"/>
          <w:highlight w:val="none"/>
          <w:lang w:val="en-US" w:eastAsia="zh-CN" w:bidi="ar-SA"/>
        </w:rPr>
        <w:t>的日常联络，听取他们关于我市做好</w:t>
      </w:r>
      <w:r>
        <w:rPr>
          <w:rFonts w:hint="eastAsia" w:ascii="仿宋" w:hAnsi="仿宋" w:cstheme="minorBidi"/>
          <w:b w:val="0"/>
          <w:bCs w:val="0"/>
          <w:kern w:val="2"/>
          <w:sz w:val="32"/>
          <w:szCs w:val="32"/>
          <w:highlight w:val="none"/>
          <w:lang w:val="en-US" w:eastAsia="zh-CN" w:bidi="ar-SA"/>
        </w:rPr>
        <w:t>对台胞接待</w:t>
      </w:r>
      <w:r>
        <w:rPr>
          <w:rFonts w:hint="eastAsia" w:ascii="仿宋" w:hAnsi="仿宋" w:eastAsia="仿宋" w:cstheme="minorBidi"/>
          <w:b w:val="0"/>
          <w:bCs w:val="0"/>
          <w:kern w:val="2"/>
          <w:sz w:val="32"/>
          <w:szCs w:val="32"/>
          <w:highlight w:val="none"/>
          <w:lang w:val="en-US" w:eastAsia="zh-CN" w:bidi="ar-SA"/>
        </w:rPr>
        <w:t>工作的建议，为我市做好</w:t>
      </w:r>
      <w:r>
        <w:rPr>
          <w:rFonts w:hint="eastAsia" w:ascii="仿宋" w:hAnsi="仿宋" w:cstheme="minorBidi"/>
          <w:b w:val="0"/>
          <w:bCs w:val="0"/>
          <w:kern w:val="2"/>
          <w:sz w:val="32"/>
          <w:szCs w:val="32"/>
          <w:highlight w:val="none"/>
          <w:lang w:val="en-US" w:eastAsia="zh-CN" w:bidi="ar-SA"/>
        </w:rPr>
        <w:t>对台经贸</w:t>
      </w:r>
      <w:r>
        <w:rPr>
          <w:rFonts w:hint="eastAsia" w:ascii="仿宋" w:hAnsi="仿宋" w:eastAsia="仿宋" w:cstheme="minorBidi"/>
          <w:b w:val="0"/>
          <w:bCs w:val="0"/>
          <w:kern w:val="2"/>
          <w:sz w:val="32"/>
          <w:szCs w:val="32"/>
          <w:highlight w:val="none"/>
          <w:lang w:val="en-US" w:eastAsia="zh-CN" w:bidi="ar-SA"/>
        </w:rPr>
        <w:t>统战工作提供依据。以“一节一会”为契机，做好与台企台商联谊招商、台湾名品展销等活动，促进两岸经贸往来。</w:t>
      </w:r>
    </w:p>
    <w:p>
      <w:pPr>
        <w:pStyle w:val="6"/>
        <w:ind w:firstLine="643"/>
        <w:rPr>
          <w:rFonts w:hint="eastAsia" w:ascii="仿宋" w:hAnsi="仿宋" w:eastAsia="仿宋" w:cstheme="minorBidi"/>
          <w:b w:val="0"/>
          <w:bCs w:val="0"/>
          <w:kern w:val="2"/>
          <w:sz w:val="32"/>
          <w:szCs w:val="32"/>
          <w:highlight w:val="none"/>
          <w:lang w:val="en-US" w:eastAsia="zh-CN" w:bidi="ar-SA"/>
        </w:rPr>
      </w:pPr>
      <w:r>
        <w:rPr>
          <w:rFonts w:hint="eastAsia"/>
          <w:lang w:val="en-US" w:eastAsia="zh-CN"/>
        </w:rPr>
        <w:t>2、</w:t>
      </w:r>
      <w:r>
        <w:rPr>
          <w:rFonts w:hint="eastAsia"/>
        </w:rPr>
        <w:t>项目实施内容</w:t>
      </w:r>
    </w:p>
    <w:p>
      <w:pPr>
        <w:pStyle w:val="6"/>
        <w:ind w:firstLine="643"/>
        <w:rPr>
          <w:rFonts w:hint="eastAsia" w:ascii="仿宋" w:hAnsi="仿宋" w:eastAsia="仿宋" w:cstheme="minorBidi"/>
          <w:b w:val="0"/>
          <w:bCs w:val="0"/>
          <w:kern w:val="2"/>
          <w:sz w:val="32"/>
          <w:szCs w:val="32"/>
          <w:highlight w:val="yellow"/>
          <w:lang w:val="en-US" w:eastAsia="zh-CN" w:bidi="ar-SA"/>
        </w:rPr>
      </w:pPr>
      <w:r>
        <w:rPr>
          <w:rFonts w:hint="eastAsia" w:ascii="仿宋" w:hAnsi="仿宋" w:eastAsia="仿宋" w:cstheme="minorBidi"/>
          <w:b w:val="0"/>
          <w:bCs w:val="0"/>
          <w:kern w:val="2"/>
          <w:sz w:val="32"/>
          <w:szCs w:val="32"/>
          <w:highlight w:val="none"/>
          <w:lang w:val="en-US" w:eastAsia="zh-CN" w:bidi="ar-SA"/>
        </w:rPr>
        <w:t>做好台湾同胞新冠疫苗免费接种工作，促使台湾同胞在大陆享受同等待遇</w:t>
      </w:r>
      <w:r>
        <w:rPr>
          <w:rFonts w:hint="eastAsia" w:ascii="仿宋" w:hAnsi="仿宋" w:cstheme="minorBidi"/>
          <w:b w:val="0"/>
          <w:bCs w:val="0"/>
          <w:kern w:val="2"/>
          <w:sz w:val="32"/>
          <w:szCs w:val="32"/>
          <w:highlight w:val="none"/>
          <w:lang w:val="en-US" w:eastAsia="zh-CN" w:bidi="ar-SA"/>
        </w:rPr>
        <w:t>；参与招商联谊会4次；参与全市招商引资活动1次，召开台海局势报告会1次。</w:t>
      </w:r>
    </w:p>
    <w:bookmarkEnd w:id="7"/>
    <w:p>
      <w:pPr>
        <w:pStyle w:val="5"/>
      </w:pPr>
      <w:bookmarkStart w:id="8" w:name="_Toc10366"/>
      <w:bookmarkStart w:id="9" w:name="_Toc79333434"/>
      <w:bookmarkStart w:id="10" w:name="_Toc14372"/>
      <w:r>
        <w:rPr>
          <w:rFonts w:hint="eastAsia"/>
        </w:rPr>
        <w:t>（二）项目支出情况</w:t>
      </w:r>
      <w:bookmarkEnd w:id="8"/>
      <w:bookmarkEnd w:id="9"/>
      <w:bookmarkEnd w:id="10"/>
    </w:p>
    <w:p>
      <w:pPr>
        <w:pStyle w:val="6"/>
        <w:ind w:firstLine="643"/>
      </w:pPr>
      <w:bookmarkStart w:id="11" w:name="_Toc28118"/>
      <w:bookmarkStart w:id="12" w:name="_Toc79333435"/>
      <w:r>
        <w:rPr>
          <w:rFonts w:hint="eastAsia"/>
        </w:rPr>
        <w:t>1、项目预算情况</w:t>
      </w:r>
      <w:bookmarkEnd w:id="11"/>
      <w:bookmarkEnd w:id="12"/>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11</w:t>
      </w:r>
      <w:r>
        <w:rPr>
          <w:rFonts w:hint="eastAsia"/>
          <w:highlight w:val="none"/>
        </w:rPr>
        <w:t>万元，当年实际执行</w:t>
      </w:r>
      <w:r>
        <w:rPr>
          <w:rFonts w:hint="eastAsia"/>
          <w:highlight w:val="none"/>
          <w:lang w:val="en-US" w:eastAsia="zh-CN"/>
        </w:rPr>
        <w:t>5.65</w:t>
      </w:r>
      <w:r>
        <w:rPr>
          <w:rFonts w:hint="eastAsia"/>
          <w:highlight w:val="none"/>
        </w:rPr>
        <w:t>万元。</w:t>
      </w:r>
    </w:p>
    <w:p>
      <w:pPr>
        <w:pStyle w:val="6"/>
        <w:ind w:firstLine="643"/>
        <w:rPr>
          <w:highlight w:val="none"/>
        </w:rPr>
      </w:pPr>
      <w:bookmarkStart w:id="13" w:name="_Toc79333436"/>
      <w:bookmarkStart w:id="14" w:name="_Toc18098"/>
      <w:r>
        <w:rPr>
          <w:rFonts w:hint="eastAsia"/>
          <w:highlight w:val="none"/>
        </w:rPr>
        <w:t>2、项目预算执行情况</w:t>
      </w:r>
      <w:bookmarkEnd w:id="13"/>
      <w:bookmarkEnd w:id="14"/>
    </w:p>
    <w:p>
      <w:pPr>
        <w:ind w:firstLine="640"/>
        <w:jc w:val="left"/>
        <w:rPr>
          <w:highlight w:val="none"/>
        </w:rPr>
      </w:pPr>
      <w:r>
        <w:rPr>
          <w:rFonts w:hint="eastAsia"/>
          <w:highlight w:val="none"/>
        </w:rPr>
        <w:t>项目全年预算财政资金为</w:t>
      </w:r>
      <w:r>
        <w:rPr>
          <w:rFonts w:hint="eastAsia"/>
          <w:highlight w:val="none"/>
          <w:lang w:val="en-US" w:eastAsia="zh-CN"/>
        </w:rPr>
        <w:t>5.65</w:t>
      </w:r>
      <w:r>
        <w:rPr>
          <w:rFonts w:hint="eastAsia"/>
          <w:highlight w:val="none"/>
        </w:rPr>
        <w:t>万元，实际支出</w:t>
      </w:r>
      <w:r>
        <w:rPr>
          <w:rFonts w:hint="eastAsia"/>
          <w:highlight w:val="none"/>
          <w:lang w:val="en-US" w:eastAsia="zh-CN"/>
        </w:rPr>
        <w:t>5.65</w:t>
      </w:r>
      <w:r>
        <w:rPr>
          <w:rFonts w:hint="eastAsia"/>
          <w:highlight w:val="none"/>
        </w:rPr>
        <w:t>万元，执行率100%。</w:t>
      </w:r>
    </w:p>
    <w:p>
      <w:pPr>
        <w:pStyle w:val="4"/>
        <w:rPr>
          <w:highlight w:val="none"/>
        </w:rPr>
      </w:pPr>
      <w:bookmarkStart w:id="15" w:name="_Toc8945"/>
      <w:bookmarkStart w:id="16" w:name="_Toc79333437"/>
      <w:bookmarkStart w:id="17" w:name="_Toc10420"/>
      <w:bookmarkStart w:id="18" w:name="_Toc75871361"/>
      <w:r>
        <w:rPr>
          <w:rFonts w:hint="eastAsia"/>
          <w:highlight w:val="none"/>
        </w:rPr>
        <w:t>二、绩效自评工作开展情况</w:t>
      </w:r>
      <w:bookmarkEnd w:id="15"/>
      <w:bookmarkEnd w:id="16"/>
      <w:bookmarkEnd w:id="17"/>
      <w:bookmarkEnd w:id="18"/>
    </w:p>
    <w:p>
      <w:pPr>
        <w:pStyle w:val="5"/>
      </w:pPr>
      <w:bookmarkStart w:id="19" w:name="_Toc75871362"/>
      <w:bookmarkStart w:id="20" w:name="_Toc6242"/>
      <w:bookmarkStart w:id="21" w:name="_Toc79333438"/>
      <w:r>
        <w:rPr>
          <w:rFonts w:hint="eastAsia"/>
        </w:rPr>
        <w:t>（一）绩效自评价目的和意义</w:t>
      </w:r>
      <w:bookmarkEnd w:id="19"/>
      <w:bookmarkEnd w:id="20"/>
      <w:bookmarkEnd w:id="21"/>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pPr>
      <w:bookmarkStart w:id="22" w:name="_Toc22054"/>
      <w:bookmarkStart w:id="23" w:name="_Toc79333439"/>
      <w:bookmarkStart w:id="24" w:name="_Toc75871363"/>
      <w:bookmarkStart w:id="25" w:name="_Toc3060"/>
      <w:r>
        <w:rPr>
          <w:rFonts w:hint="eastAsia"/>
        </w:rPr>
        <w:t>（二）绩效自评价对象和范围</w:t>
      </w:r>
      <w:bookmarkEnd w:id="22"/>
      <w:bookmarkEnd w:id="23"/>
      <w:bookmarkEnd w:id="24"/>
      <w:bookmarkEnd w:id="25"/>
    </w:p>
    <w:p>
      <w:pPr>
        <w:ind w:firstLine="640"/>
        <w:rPr>
          <w:highlight w:val="none"/>
        </w:rPr>
      </w:pPr>
      <w:r>
        <w:rPr>
          <w:rFonts w:hint="eastAsia"/>
          <w:highlight w:val="none"/>
        </w:rPr>
        <w:t>本次绩效自评价对象为2</w:t>
      </w:r>
      <w:r>
        <w:rPr>
          <w:highlight w:val="none"/>
        </w:rPr>
        <w:t>02</w:t>
      </w:r>
      <w:r>
        <w:rPr>
          <w:rFonts w:hint="eastAsia"/>
          <w:highlight w:val="none"/>
        </w:rPr>
        <w:t>1年对台工作专项经费项目专项资金，评价范围为涉及该项目管理及其预算资金</w:t>
      </w:r>
      <w:r>
        <w:rPr>
          <w:rFonts w:hint="eastAsia"/>
          <w:highlight w:val="none"/>
          <w:lang w:val="en-US" w:eastAsia="zh-CN"/>
        </w:rPr>
        <w:t>5.65</w:t>
      </w:r>
      <w:r>
        <w:rPr>
          <w:rFonts w:hint="eastAsia"/>
          <w:highlight w:val="none"/>
        </w:rPr>
        <w:t>万元的使用情况。</w:t>
      </w:r>
    </w:p>
    <w:p>
      <w:pPr>
        <w:pStyle w:val="5"/>
      </w:pPr>
      <w:bookmarkStart w:id="26" w:name="_Toc79333440"/>
      <w:bookmarkStart w:id="27" w:name="_Toc8160"/>
      <w:bookmarkStart w:id="28" w:name="_Toc75871364"/>
      <w:bookmarkStart w:id="29" w:name="_Toc7492"/>
      <w:r>
        <w:rPr>
          <w:rFonts w:hint="eastAsia"/>
        </w:rPr>
        <w:t>（三）绩效评价的依据</w:t>
      </w:r>
      <w:bookmarkEnd w:id="26"/>
      <w:bookmarkEnd w:id="27"/>
      <w:bookmarkEnd w:id="28"/>
      <w:bookmarkEnd w:id="29"/>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5"/>
      </w:pPr>
      <w:bookmarkStart w:id="30" w:name="_Toc79333441"/>
      <w:bookmarkStart w:id="31" w:name="_Toc13521"/>
      <w:bookmarkStart w:id="32" w:name="_Toc75871365"/>
      <w:bookmarkStart w:id="33" w:name="_Toc30360"/>
      <w:r>
        <w:rPr>
          <w:rFonts w:hint="eastAsia"/>
        </w:rPr>
        <w:t>（四）评分方法</w:t>
      </w:r>
      <w:bookmarkEnd w:id="30"/>
      <w:bookmarkEnd w:id="31"/>
      <w:bookmarkEnd w:id="32"/>
      <w:bookmarkEnd w:id="33"/>
    </w:p>
    <w:p>
      <w:pPr>
        <w:ind w:firstLine="640"/>
      </w:pPr>
      <w:bookmarkStart w:id="34"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5"/>
      </w:pPr>
      <w:bookmarkStart w:id="35" w:name="_Toc75871366"/>
      <w:bookmarkStart w:id="36" w:name="_Toc79333442"/>
      <w:bookmarkStart w:id="37" w:name="_Toc3779"/>
      <w:r>
        <w:rPr>
          <w:rFonts w:hint="eastAsia"/>
        </w:rPr>
        <w:t>（五）绩效自评工作组织</w:t>
      </w:r>
      <w:bookmarkEnd w:id="34"/>
      <w:bookmarkEnd w:id="35"/>
      <w:bookmarkEnd w:id="36"/>
      <w:bookmarkEnd w:id="37"/>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4"/>
      </w:pPr>
      <w:bookmarkStart w:id="38" w:name="_Toc79333443"/>
      <w:bookmarkStart w:id="39" w:name="_Toc2369"/>
      <w:r>
        <w:rPr>
          <w:rFonts w:hint="eastAsia"/>
        </w:rPr>
        <w:t>三、绩效自评结果及分析</w:t>
      </w:r>
      <w:bookmarkEnd w:id="38"/>
      <w:bookmarkEnd w:id="39"/>
    </w:p>
    <w:p>
      <w:pPr>
        <w:pStyle w:val="5"/>
      </w:pPr>
      <w:bookmarkStart w:id="40" w:name="_Toc629"/>
      <w:bookmarkStart w:id="41" w:name="_Toc79333444"/>
      <w:bookmarkStart w:id="42" w:name="_Toc4028"/>
      <w:r>
        <w:t>（一）绩效自评价结果</w:t>
      </w:r>
      <w:bookmarkEnd w:id="40"/>
      <w:bookmarkEnd w:id="41"/>
      <w:bookmarkEnd w:id="42"/>
    </w:p>
    <w:p>
      <w:pPr>
        <w:ind w:firstLine="640"/>
      </w:pPr>
      <w:r>
        <w:rPr>
          <w:rFonts w:hint="eastAsia"/>
        </w:rPr>
        <w:t>根据自评相关规定，绩效评价结果实行百分制和四级分类，分别是：90-100分为优、80-89分为良、60-79分为中、0-59分为差。</w:t>
      </w:r>
    </w:p>
    <w:p>
      <w:pPr>
        <w:ind w:firstLine="640"/>
        <w:rPr>
          <w:highlight w:val="none"/>
        </w:rPr>
      </w:pPr>
      <w:r>
        <w:rPr>
          <w:rFonts w:hint="eastAsia"/>
        </w:rPr>
        <w:t>我单位通过对本项目</w:t>
      </w:r>
      <w:r>
        <w:rPr>
          <w:rFonts w:hint="eastAsia"/>
          <w:highlight w:val="none"/>
        </w:rPr>
        <w:t>调查研究、座谈、查阅相关资料，根据相关政策要求进行打分，最终项目自评价得分为</w:t>
      </w:r>
      <w:r>
        <w:rPr>
          <w:rFonts w:hint="eastAsia"/>
          <w:highlight w:val="none"/>
          <w:lang w:val="en-US" w:eastAsia="zh-CN"/>
        </w:rPr>
        <w:t>98</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20"/>
        <w:ind w:firstLine="643"/>
        <w:rPr>
          <w:rFonts w:hint="eastAsia"/>
          <w:highlight w:val="none"/>
        </w:rPr>
      </w:pPr>
    </w:p>
    <w:p>
      <w:pPr>
        <w:pStyle w:val="20"/>
        <w:ind w:firstLine="643"/>
        <w:rPr>
          <w:rFonts w:hint="eastAsia"/>
          <w:highlight w:val="none"/>
        </w:rPr>
      </w:pPr>
    </w:p>
    <w:p>
      <w:pPr>
        <w:pStyle w:val="20"/>
        <w:ind w:firstLine="643"/>
        <w:rPr>
          <w:highlight w:val="none"/>
        </w:rPr>
      </w:pPr>
      <w:r>
        <w:rPr>
          <w:rFonts w:hint="eastAsia"/>
          <w:highlight w:val="none"/>
        </w:rPr>
        <w:t>表3.1 绩效自评价得分表</w:t>
      </w:r>
    </w:p>
    <w:tbl>
      <w:tblPr>
        <w:tblStyle w:val="14"/>
        <w:tblW w:w="4954" w:type="pct"/>
        <w:jc w:val="center"/>
        <w:tblLayout w:type="fixed"/>
        <w:tblCellMar>
          <w:top w:w="0" w:type="dxa"/>
          <w:left w:w="108" w:type="dxa"/>
          <w:bottom w:w="0" w:type="dxa"/>
          <w:right w:w="108" w:type="dxa"/>
        </w:tblCellMar>
      </w:tblPr>
      <w:tblGrid>
        <w:gridCol w:w="1305"/>
        <w:gridCol w:w="1603"/>
        <w:gridCol w:w="2724"/>
        <w:gridCol w:w="1439"/>
        <w:gridCol w:w="1373"/>
      </w:tblGrid>
      <w:tr>
        <w:tblPrEx>
          <w:tblCellMar>
            <w:top w:w="0" w:type="dxa"/>
            <w:left w:w="108" w:type="dxa"/>
            <w:bottom w:w="0" w:type="dxa"/>
            <w:right w:w="108" w:type="dxa"/>
          </w:tblCellMar>
        </w:tblPrEx>
        <w:trPr>
          <w:trHeight w:val="567" w:hRule="atLeast"/>
          <w:tblHeader/>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8"/>
              <w:rPr>
                <w:highlight w:val="none"/>
              </w:rPr>
            </w:pPr>
            <w:r>
              <w:rPr>
                <w:rFonts w:hint="eastAsia"/>
                <w:highlight w:val="none"/>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8"/>
              <w:rPr>
                <w:highlight w:val="none"/>
              </w:rPr>
            </w:pPr>
            <w:r>
              <w:rPr>
                <w:rFonts w:hint="eastAsia"/>
                <w:highlight w:val="none"/>
              </w:rPr>
              <w:t>二级指标</w:t>
            </w:r>
          </w:p>
        </w:tc>
        <w:tc>
          <w:tcPr>
            <w:tcW w:w="161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8"/>
              <w:rPr>
                <w:highlight w:val="none"/>
              </w:rPr>
            </w:pPr>
            <w:r>
              <w:rPr>
                <w:rFonts w:hint="eastAsia"/>
                <w:highlight w:val="none"/>
              </w:rPr>
              <w:t>三级指标</w:t>
            </w:r>
          </w:p>
        </w:tc>
        <w:tc>
          <w:tcPr>
            <w:tcW w:w="85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8"/>
              <w:rPr>
                <w:highlight w:val="none"/>
              </w:rPr>
            </w:pPr>
            <w:r>
              <w:rPr>
                <w:rFonts w:hint="eastAsia"/>
                <w:highlight w:val="none"/>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8"/>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8"/>
              <w:rPr>
                <w:highlight w:val="none"/>
              </w:rPr>
            </w:pPr>
            <w:r>
              <w:rPr>
                <w:rFonts w:hint="eastAsia"/>
                <w:highlight w:val="none"/>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8"/>
              <w:rPr>
                <w:highlight w:val="none"/>
              </w:rPr>
            </w:pPr>
            <w:r>
              <w:rPr>
                <w:rFonts w:hint="eastAsia"/>
                <w:highlight w:val="none"/>
              </w:rPr>
              <w:t>预算执行率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highlight w:val="none"/>
              </w:rPr>
            </w:pPr>
            <w:r>
              <w:rPr>
                <w:rFonts w:hint="eastAsia"/>
                <w:highlight w:val="none"/>
              </w:rPr>
              <w:t>预算执行率</w:t>
            </w:r>
          </w:p>
        </w:tc>
        <w:tc>
          <w:tcPr>
            <w:tcW w:w="852" w:type="pct"/>
            <w:tcBorders>
              <w:top w:val="single" w:color="auto" w:sz="4" w:space="0"/>
              <w:left w:val="nil"/>
              <w:bottom w:val="single" w:color="auto" w:sz="4" w:space="0"/>
              <w:right w:val="single" w:color="auto" w:sz="4" w:space="0"/>
            </w:tcBorders>
            <w:shd w:val="clear" w:color="auto" w:fill="auto"/>
            <w:vAlign w:val="center"/>
          </w:tcPr>
          <w:p>
            <w:pPr>
              <w:pStyle w:val="18"/>
              <w:rPr>
                <w:rFonts w:hint="default" w:eastAsia="仿宋"/>
                <w:highlight w:val="none"/>
                <w:lang w:val="en-US" w:eastAsia="zh-CN"/>
              </w:rPr>
            </w:pPr>
            <w:r>
              <w:rPr>
                <w:rFonts w:hint="eastAsia"/>
                <w:highlight w:val="none"/>
                <w:lang w:val="en-US" w:eastAsia="zh-CN"/>
              </w:rPr>
              <w:t>10</w:t>
            </w:r>
          </w:p>
        </w:tc>
        <w:tc>
          <w:tcPr>
            <w:tcW w:w="813" w:type="pct"/>
            <w:tcBorders>
              <w:top w:val="single" w:color="auto" w:sz="4" w:space="0"/>
              <w:left w:val="nil"/>
              <w:bottom w:val="single" w:color="auto" w:sz="4" w:space="0"/>
              <w:right w:val="single" w:color="auto" w:sz="4" w:space="0"/>
            </w:tcBorders>
            <w:shd w:val="clear" w:color="auto" w:fill="auto"/>
            <w:vAlign w:val="center"/>
          </w:tcPr>
          <w:p>
            <w:pPr>
              <w:pStyle w:val="18"/>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restart"/>
            <w:tcBorders>
              <w:left w:val="single" w:color="auto" w:sz="4" w:space="0"/>
              <w:right w:val="single" w:color="auto" w:sz="4" w:space="0"/>
            </w:tcBorders>
            <w:vAlign w:val="center"/>
          </w:tcPr>
          <w:p>
            <w:pPr>
              <w:pStyle w:val="18"/>
              <w:rPr>
                <w:rFonts w:hint="eastAsia" w:eastAsia="仿宋"/>
                <w:highlight w:val="none"/>
                <w:lang w:val="en-US" w:eastAsia="zh-CN"/>
              </w:rPr>
            </w:pPr>
            <w:r>
              <w:rPr>
                <w:rFonts w:hint="eastAsia"/>
                <w:highlight w:val="none"/>
                <w:lang w:val="en-US" w:eastAsia="zh-CN"/>
              </w:rPr>
              <w:t>产出指标</w:t>
            </w:r>
          </w:p>
        </w:tc>
        <w:tc>
          <w:tcPr>
            <w:tcW w:w="949" w:type="pct"/>
            <w:vMerge w:val="restart"/>
            <w:tcBorders>
              <w:top w:val="single" w:color="auto" w:sz="4" w:space="0"/>
              <w:left w:val="single" w:color="auto" w:sz="4" w:space="0"/>
              <w:right w:val="single" w:color="auto" w:sz="4" w:space="0"/>
            </w:tcBorders>
            <w:vAlign w:val="center"/>
          </w:tcPr>
          <w:p>
            <w:pPr>
              <w:pStyle w:val="18"/>
              <w:rPr>
                <w:rFonts w:hint="eastAsia" w:eastAsia="仿宋"/>
                <w:highlight w:val="none"/>
                <w:lang w:val="en-US" w:eastAsia="zh-CN"/>
              </w:rPr>
            </w:pPr>
            <w:r>
              <w:rPr>
                <w:rFonts w:hint="eastAsia"/>
                <w:highlight w:val="none"/>
                <w:lang w:val="en-US" w:eastAsia="zh-CN"/>
              </w:rPr>
              <w:t>数量指标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highlight w:val="none"/>
              </w:rPr>
            </w:pPr>
            <w:r>
              <w:rPr>
                <w:rFonts w:hint="eastAsia"/>
                <w:highlight w:val="none"/>
              </w:rPr>
              <w:t>接种覆盖率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5</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参与招商联谊会次数</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5</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4</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参与全市招商引资活动</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2</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1</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台海局势报告会</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2</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restart"/>
            <w:tcBorders>
              <w:top w:val="single" w:color="auto" w:sz="4" w:space="0"/>
              <w:left w:val="single" w:color="auto" w:sz="4" w:space="0"/>
              <w:right w:val="single" w:color="auto" w:sz="4" w:space="0"/>
            </w:tcBorders>
            <w:vAlign w:val="center"/>
          </w:tcPr>
          <w:p>
            <w:pPr>
              <w:pStyle w:val="18"/>
              <w:rPr>
                <w:rFonts w:hint="eastAsia" w:eastAsia="仿宋"/>
                <w:highlight w:val="none"/>
                <w:lang w:val="en-US" w:eastAsia="zh-CN"/>
              </w:rPr>
            </w:pPr>
            <w:r>
              <w:rPr>
                <w:rFonts w:hint="eastAsia"/>
                <w:highlight w:val="none"/>
                <w:lang w:val="en-US" w:eastAsia="zh-CN"/>
              </w:rPr>
              <w:t>质量指标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接种完成率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5</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参与招商联谊会完成率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参与全市招商引资活动完成率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台海局势报告会到位率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restart"/>
            <w:tcBorders>
              <w:top w:val="single" w:color="auto" w:sz="4" w:space="0"/>
              <w:left w:val="single" w:color="auto" w:sz="4" w:space="0"/>
              <w:right w:val="single" w:color="auto" w:sz="4" w:space="0"/>
            </w:tcBorders>
            <w:vAlign w:val="center"/>
          </w:tcPr>
          <w:p>
            <w:pPr>
              <w:pStyle w:val="18"/>
              <w:rPr>
                <w:rFonts w:hint="eastAsia" w:eastAsia="仿宋"/>
                <w:highlight w:val="none"/>
                <w:lang w:val="en-US" w:eastAsia="zh-CN"/>
              </w:rPr>
            </w:pPr>
            <w:r>
              <w:rPr>
                <w:rFonts w:hint="eastAsia"/>
                <w:highlight w:val="none"/>
                <w:lang w:val="en-US" w:eastAsia="zh-CN"/>
              </w:rPr>
              <w:t>时效指标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接种及时性</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5</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完成招商联谊会时间</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完成全市招商引资时间</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台海局势报告会时间</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bottom w:val="single" w:color="000000" w:sz="4" w:space="0"/>
              <w:right w:val="single" w:color="auto" w:sz="4" w:space="0"/>
            </w:tcBorders>
            <w:vAlign w:val="center"/>
          </w:tcPr>
          <w:p>
            <w:pPr>
              <w:pStyle w:val="18"/>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pStyle w:val="18"/>
              <w:rPr>
                <w:rFonts w:hint="eastAsia" w:eastAsia="仿宋"/>
                <w:highlight w:val="none"/>
                <w:lang w:val="en-US" w:eastAsia="zh-CN"/>
              </w:rPr>
            </w:pPr>
            <w:r>
              <w:rPr>
                <w:rFonts w:hint="eastAsia"/>
                <w:highlight w:val="none"/>
                <w:lang w:val="en-US" w:eastAsia="zh-CN"/>
              </w:rPr>
              <w:t>成本指标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总项目经费</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8</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8</w:t>
            </w:r>
          </w:p>
        </w:tc>
      </w:tr>
      <w:tr>
        <w:tblPrEx>
          <w:tblCellMar>
            <w:top w:w="0" w:type="dxa"/>
            <w:left w:w="108" w:type="dxa"/>
            <w:bottom w:w="0" w:type="dxa"/>
            <w:right w:w="108" w:type="dxa"/>
          </w:tblCellMar>
        </w:tblPrEx>
        <w:trPr>
          <w:trHeight w:val="567" w:hRule="atLeast"/>
          <w:jc w:val="center"/>
        </w:trPr>
        <w:tc>
          <w:tcPr>
            <w:tcW w:w="772" w:type="pct"/>
            <w:vMerge w:val="restart"/>
            <w:tcBorders>
              <w:left w:val="single" w:color="auto" w:sz="4" w:space="0"/>
              <w:right w:val="single" w:color="auto" w:sz="4" w:space="0"/>
            </w:tcBorders>
            <w:vAlign w:val="center"/>
          </w:tcPr>
          <w:p>
            <w:pPr>
              <w:pStyle w:val="18"/>
              <w:rPr>
                <w:rFonts w:hint="eastAsia" w:eastAsia="仿宋"/>
                <w:highlight w:val="none"/>
                <w:lang w:val="en-US" w:eastAsia="zh-CN"/>
              </w:rPr>
            </w:pPr>
            <w:r>
              <w:rPr>
                <w:rFonts w:hint="eastAsia"/>
                <w:highlight w:val="none"/>
                <w:lang w:val="en-US" w:eastAsia="zh-CN"/>
              </w:rPr>
              <w:t>效益指标</w:t>
            </w:r>
          </w:p>
        </w:tc>
        <w:tc>
          <w:tcPr>
            <w:tcW w:w="949" w:type="pct"/>
            <w:vMerge w:val="restart"/>
            <w:tcBorders>
              <w:top w:val="single" w:color="auto" w:sz="4" w:space="0"/>
              <w:left w:val="single" w:color="auto" w:sz="4" w:space="0"/>
              <w:right w:val="single" w:color="auto" w:sz="4" w:space="0"/>
            </w:tcBorders>
            <w:vAlign w:val="center"/>
          </w:tcPr>
          <w:p>
            <w:pPr>
              <w:pStyle w:val="18"/>
              <w:rPr>
                <w:rFonts w:hint="eastAsia"/>
                <w:highlight w:val="none"/>
              </w:rPr>
            </w:pPr>
            <w:r>
              <w:rPr>
                <w:rFonts w:hint="eastAsia"/>
                <w:highlight w:val="none"/>
              </w:rPr>
              <w:t>社会效益指标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促进两岸关系更好的发展</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10</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8"/>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8"/>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8"/>
              <w:rPr>
                <w:rFonts w:hint="eastAsia"/>
                <w:highlight w:val="none"/>
              </w:rPr>
            </w:pPr>
            <w:r>
              <w:rPr>
                <w:rFonts w:hint="eastAsia"/>
                <w:highlight w:val="none"/>
              </w:rPr>
              <w:t>促进当地经济发展，提高就业</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10</w:t>
            </w:r>
          </w:p>
        </w:tc>
        <w:tc>
          <w:tcPr>
            <w:tcW w:w="813"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8"/>
              <w:rPr>
                <w:rFonts w:hint="eastAsia"/>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shd w:val="clear" w:color="auto" w:fill="auto"/>
            <w:noWrap/>
            <w:vAlign w:val="center"/>
          </w:tcPr>
          <w:p>
            <w:pPr>
              <w:pStyle w:val="18"/>
              <w:rPr>
                <w:rFonts w:hint="eastAsia" w:eastAsia="仿宋"/>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8"/>
              <w:rPr>
                <w:rFonts w:hint="eastAsia" w:eastAsia="仿宋"/>
                <w:highlight w:val="none"/>
                <w:lang w:val="en-US" w:eastAsia="zh-CN"/>
              </w:rPr>
            </w:pPr>
            <w:r>
              <w:rPr>
                <w:rFonts w:hint="eastAsia"/>
                <w:highlight w:val="none"/>
                <w:lang w:val="en-US" w:eastAsia="zh-CN"/>
              </w:rPr>
              <w:t>可持续影响指标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8"/>
              <w:rPr>
                <w:highlight w:val="none"/>
              </w:rPr>
            </w:pPr>
            <w:r>
              <w:rPr>
                <w:rFonts w:hint="eastAsia"/>
                <w:highlight w:val="none"/>
              </w:rPr>
              <w:t>持续保持两岸友好发展</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8"/>
              <w:rPr>
                <w:rFonts w:hint="default"/>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8"/>
              <w:rPr>
                <w:highlight w:val="none"/>
              </w:rPr>
            </w:pPr>
            <w:r>
              <w:rPr>
                <w:rFonts w:hint="eastAsia"/>
                <w:highlight w:val="none"/>
              </w:rPr>
              <w:t>满意度</w:t>
            </w:r>
          </w:p>
          <w:p>
            <w:pPr>
              <w:pStyle w:val="18"/>
              <w:rPr>
                <w:highlight w:val="none"/>
              </w:rPr>
            </w:pPr>
            <w:r>
              <w:rPr>
                <w:rFonts w:hint="eastAsia"/>
                <w:highlight w:val="none"/>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8"/>
              <w:rPr>
                <w:highlight w:val="none"/>
              </w:rPr>
            </w:pPr>
            <w:r>
              <w:rPr>
                <w:rFonts w:hint="eastAsia"/>
                <w:highlight w:val="none"/>
              </w:rPr>
              <w:t>服务对象满意度指标</w:t>
            </w:r>
          </w:p>
        </w:tc>
        <w:tc>
          <w:tcPr>
            <w:tcW w:w="1612" w:type="pct"/>
            <w:tcBorders>
              <w:top w:val="single" w:color="auto" w:sz="4" w:space="0"/>
              <w:left w:val="nil"/>
              <w:bottom w:val="single" w:color="auto" w:sz="4" w:space="0"/>
              <w:right w:val="single" w:color="auto" w:sz="4" w:space="0"/>
            </w:tcBorders>
            <w:shd w:val="clear" w:color="auto" w:fill="auto"/>
            <w:noWrap/>
            <w:vAlign w:val="center"/>
          </w:tcPr>
          <w:p>
            <w:pPr>
              <w:pStyle w:val="18"/>
              <w:rPr>
                <w:highlight w:val="none"/>
              </w:rPr>
            </w:pPr>
            <w:r>
              <w:rPr>
                <w:rFonts w:hint="eastAsia"/>
                <w:highlight w:val="none"/>
              </w:rPr>
              <w:t>台湾同胞满意度</w:t>
            </w:r>
          </w:p>
        </w:tc>
        <w:tc>
          <w:tcPr>
            <w:tcW w:w="852"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8"/>
              <w:rPr>
                <w:rFonts w:hint="default"/>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8"/>
              <w:rPr>
                <w:rFonts w:hint="default"/>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3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8"/>
              <w:rPr>
                <w:highlight w:val="none"/>
              </w:rPr>
            </w:pPr>
            <w:r>
              <w:rPr>
                <w:rFonts w:hint="eastAsia"/>
                <w:highlight w:val="none"/>
              </w:rPr>
              <w:t>总分</w:t>
            </w:r>
          </w:p>
        </w:tc>
        <w:tc>
          <w:tcPr>
            <w:tcW w:w="852" w:type="pct"/>
            <w:tcBorders>
              <w:top w:val="single" w:color="auto" w:sz="4" w:space="0"/>
              <w:left w:val="nil"/>
              <w:bottom w:val="single" w:color="auto" w:sz="4" w:space="0"/>
              <w:right w:val="single" w:color="auto" w:sz="4" w:space="0"/>
            </w:tcBorders>
            <w:shd w:val="clear" w:color="auto" w:fill="auto"/>
            <w:noWrap/>
            <w:vAlign w:val="center"/>
          </w:tcPr>
          <w:p>
            <w:pPr>
              <w:pStyle w:val="18"/>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8"/>
              <w:rPr>
                <w:rFonts w:hint="default"/>
                <w:highlight w:val="none"/>
                <w:lang w:val="en-US" w:eastAsia="zh-CN"/>
              </w:rPr>
            </w:pPr>
            <w:r>
              <w:rPr>
                <w:rFonts w:hint="eastAsia"/>
                <w:highlight w:val="none"/>
                <w:lang w:val="en-US" w:eastAsia="zh-CN"/>
              </w:rPr>
              <w:t>98</w:t>
            </w:r>
          </w:p>
        </w:tc>
      </w:tr>
    </w:tbl>
    <w:p>
      <w:pPr>
        <w:pStyle w:val="5"/>
      </w:pPr>
      <w:bookmarkStart w:id="43" w:name="_Toc31442"/>
      <w:bookmarkStart w:id="44" w:name="_Toc1983"/>
      <w:bookmarkStart w:id="45" w:name="_Toc79333445"/>
      <w:r>
        <w:rPr>
          <w:rFonts w:hint="eastAsia"/>
        </w:rPr>
        <w:t>（二）自评指标分析</w:t>
      </w:r>
      <w:bookmarkEnd w:id="43"/>
      <w:bookmarkEnd w:id="44"/>
      <w:bookmarkEnd w:id="45"/>
    </w:p>
    <w:p>
      <w:pPr>
        <w:pStyle w:val="6"/>
        <w:ind w:firstLine="643"/>
      </w:pPr>
      <w:bookmarkStart w:id="46" w:name="_Toc9747"/>
      <w:bookmarkStart w:id="47" w:name="_Toc79333446"/>
      <w:r>
        <w:rPr>
          <w:rFonts w:hint="eastAsia"/>
        </w:rPr>
        <w:t>1、预算执行指标分析</w:t>
      </w:r>
      <w:bookmarkEnd w:id="46"/>
      <w:bookmarkEnd w:id="47"/>
    </w:p>
    <w:p>
      <w:pPr>
        <w:ind w:firstLine="640"/>
        <w:rPr>
          <w:highlight w:val="none"/>
        </w:rPr>
      </w:pPr>
      <w:r>
        <w:rPr>
          <w:rFonts w:hint="eastAsia"/>
        </w:rPr>
        <w:t>一级指标“预算执行”下设一个二级指标和一个三级指标，均为“预算执行率”，该指</w:t>
      </w:r>
      <w:r>
        <w:rPr>
          <w:rFonts w:hint="eastAsia"/>
          <w:highlight w:val="none"/>
        </w:rPr>
        <w:t>标标准分值</w:t>
      </w:r>
      <w:r>
        <w:rPr>
          <w:highlight w:val="none"/>
        </w:rPr>
        <w:t>10分，实际得分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5.65</w:t>
      </w:r>
      <w:r>
        <w:rPr>
          <w:rFonts w:hint="eastAsia"/>
          <w:highlight w:val="none"/>
        </w:rPr>
        <w:t>万元，全年执行数为</w:t>
      </w:r>
      <w:r>
        <w:rPr>
          <w:rFonts w:hint="eastAsia"/>
          <w:highlight w:val="none"/>
          <w:lang w:val="en-US" w:eastAsia="zh-CN"/>
        </w:rPr>
        <w:t>5.65</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6"/>
        <w:ind w:firstLine="643"/>
        <w:rPr>
          <w:highlight w:val="none"/>
        </w:rPr>
      </w:pPr>
      <w:bookmarkStart w:id="48" w:name="_Toc79333447"/>
      <w:r>
        <w:rPr>
          <w:rFonts w:hint="eastAsia"/>
          <w:highlight w:val="none"/>
        </w:rPr>
        <w:t>2、产出指标分析</w:t>
      </w:r>
      <w:bookmarkEnd w:id="48"/>
    </w:p>
    <w:p>
      <w:pPr>
        <w:ind w:firstLine="640"/>
      </w:pPr>
      <w:r>
        <w:rPr>
          <w:rFonts w:hint="eastAsia"/>
        </w:rPr>
        <w:t>一级指标“产出指标”下设四个二级指标分别是：“数量指标”、“质量指标”、“时效指标”和“成本指标”。</w:t>
      </w:r>
    </w:p>
    <w:p>
      <w:pPr>
        <w:ind w:firstLine="640"/>
        <w:rPr>
          <w:highlight w:val="none"/>
        </w:rPr>
      </w:pPr>
      <w:r>
        <w:rPr>
          <w:rFonts w:hint="eastAsia"/>
          <w:highlight w:val="none"/>
        </w:rPr>
        <w:t>（1）数量指标</w:t>
      </w:r>
    </w:p>
    <w:p>
      <w:pPr>
        <w:ind w:firstLine="640"/>
        <w:rPr>
          <w:highlight w:val="none"/>
        </w:rPr>
      </w:pPr>
      <w:r>
        <w:rPr>
          <w:rFonts w:hint="eastAsia"/>
          <w:highlight w:val="none"/>
        </w:rPr>
        <w:t>“数量指标”下设</w:t>
      </w:r>
      <w:r>
        <w:rPr>
          <w:rFonts w:hint="eastAsia"/>
          <w:highlight w:val="none"/>
          <w:lang w:val="en-US" w:eastAsia="zh-CN"/>
        </w:rPr>
        <w:t>四</w:t>
      </w:r>
      <w:r>
        <w:rPr>
          <w:rFonts w:hint="eastAsia"/>
          <w:highlight w:val="none"/>
        </w:rPr>
        <w:t>个三级指标“接种覆盖率”</w:t>
      </w:r>
      <w:r>
        <w:rPr>
          <w:rFonts w:hint="eastAsia"/>
          <w:highlight w:val="none"/>
          <w:lang w:eastAsia="zh-CN"/>
        </w:rPr>
        <w:t>、“参与招商联谊会次数”、“参与全市招商引资活动”</w:t>
      </w:r>
      <w:r>
        <w:rPr>
          <w:rFonts w:hint="eastAsia"/>
          <w:highlight w:val="none"/>
          <w:lang w:val="en-US" w:eastAsia="zh-CN"/>
        </w:rPr>
        <w:t>和</w:t>
      </w:r>
      <w:r>
        <w:rPr>
          <w:rFonts w:hint="eastAsia"/>
          <w:highlight w:val="none"/>
          <w:lang w:eastAsia="zh-CN"/>
        </w:rPr>
        <w:t>“台海局势报告会</w:t>
      </w:r>
      <w:r>
        <w:rPr>
          <w:rFonts w:hint="eastAsia"/>
          <w:highlight w:val="none"/>
        </w:rPr>
        <w:t>”。</w:t>
      </w:r>
    </w:p>
    <w:p>
      <w:pPr>
        <w:ind w:firstLine="640"/>
        <w:rPr>
          <w:rFonts w:hint="default" w:eastAsia="仿宋"/>
          <w:highlight w:val="yellow"/>
          <w:lang w:val="en-US" w:eastAsia="zh-CN"/>
        </w:rPr>
      </w:pPr>
      <w:r>
        <w:rPr>
          <w:rFonts w:hint="eastAsia"/>
          <w:highlight w:val="none"/>
        </w:rPr>
        <w:t>截止2</w:t>
      </w:r>
      <w:r>
        <w:rPr>
          <w:highlight w:val="none"/>
        </w:rPr>
        <w:t>02</w:t>
      </w:r>
      <w:r>
        <w:rPr>
          <w:rFonts w:hint="eastAsia"/>
          <w:highlight w:val="none"/>
          <w:lang w:val="en-US" w:eastAsia="zh-CN"/>
        </w:rPr>
        <w:t>1</w:t>
      </w:r>
      <w:r>
        <w:rPr>
          <w:rFonts w:hint="eastAsia"/>
          <w:highlight w:val="none"/>
        </w:rPr>
        <w:t>年1</w:t>
      </w:r>
      <w:r>
        <w:rPr>
          <w:highlight w:val="none"/>
        </w:rPr>
        <w:t>2</w:t>
      </w:r>
      <w:r>
        <w:rPr>
          <w:rFonts w:hint="eastAsia"/>
          <w:highlight w:val="none"/>
        </w:rPr>
        <w:t>月3</w:t>
      </w:r>
      <w:r>
        <w:rPr>
          <w:highlight w:val="none"/>
        </w:rPr>
        <w:t>1</w:t>
      </w:r>
      <w:r>
        <w:rPr>
          <w:rFonts w:hint="eastAsia"/>
          <w:highlight w:val="none"/>
        </w:rPr>
        <w:t>日，</w:t>
      </w:r>
      <w:r>
        <w:rPr>
          <w:rFonts w:hint="eastAsia"/>
          <w:highlight w:val="none"/>
          <w:lang w:val="en-US" w:eastAsia="zh-CN"/>
        </w:rPr>
        <w:t>今年以来，市台办</w:t>
      </w:r>
      <w:r>
        <w:rPr>
          <w:rFonts w:hint="eastAsia"/>
          <w:highlight w:val="none"/>
          <w:lang w:eastAsia="zh-CN"/>
        </w:rPr>
        <w:t>深入贯彻</w:t>
      </w:r>
      <w:r>
        <w:rPr>
          <w:rFonts w:hint="eastAsia"/>
          <w:highlight w:val="none"/>
          <w:lang w:val="en-US" w:eastAsia="zh-CN"/>
        </w:rPr>
        <w:t>中央、省、市</w:t>
      </w:r>
      <w:r>
        <w:rPr>
          <w:rFonts w:hint="eastAsia"/>
          <w:highlight w:val="none"/>
          <w:lang w:eastAsia="zh-CN"/>
        </w:rPr>
        <w:t>关于疫情防控工作决策部署，</w:t>
      </w:r>
      <w:r>
        <w:rPr>
          <w:rFonts w:hint="eastAsia"/>
          <w:highlight w:val="none"/>
          <w:lang w:val="en-US" w:eastAsia="zh-CN"/>
        </w:rPr>
        <w:t>下发省台办有关防疫工作文件，要求各县市区稳妥有序做好在大陆台胞接种新冠病毒疫苗工作，同时积极协调市直医院克服台胞没有身份证等困难为常住台胞接种疫苗，</w:t>
      </w:r>
      <w:r>
        <w:rPr>
          <w:rFonts w:hint="eastAsia"/>
          <w:highlight w:val="none"/>
          <w:lang w:eastAsia="zh-CN"/>
        </w:rPr>
        <w:t>坚决做到联防联控、群防群控，及时多次</w:t>
      </w:r>
      <w:r>
        <w:rPr>
          <w:rFonts w:hint="eastAsia"/>
          <w:highlight w:val="none"/>
          <w:lang w:val="en-US" w:eastAsia="zh-CN"/>
        </w:rPr>
        <w:t>督促指导</w:t>
      </w:r>
      <w:r>
        <w:rPr>
          <w:rFonts w:hint="eastAsia"/>
          <w:highlight w:val="none"/>
          <w:lang w:eastAsia="zh-CN"/>
        </w:rPr>
        <w:t>全市台资企业严格按照市防疫指挥部要求，多措并举，制定各类防疫防控措施和应急预案，每天做好职工的体温检测和出入登记，要求所有职工必须佩戴口罩，下班洗手消毒。</w:t>
      </w:r>
      <w:r>
        <w:rPr>
          <w:rFonts w:hint="eastAsia"/>
          <w:highlight w:val="none"/>
          <w:lang w:val="en-US" w:eastAsia="zh-CN"/>
        </w:rPr>
        <w:t>台办还专门到企业所在地实地走访调研，看望坚守工作岗位的职工，协调解决企业复工复产后出现的问题和困难。</w:t>
      </w:r>
      <w:r>
        <w:rPr>
          <w:rFonts w:hint="eastAsia"/>
          <w:highlight w:val="none"/>
          <w:lang w:eastAsia="zh-CN"/>
        </w:rPr>
        <w:t>同时，在生产销售等方面支持鼓励企业坚定信心，克服困难，不断把企业做强做优，为我市经济和社会事业发展做出贡献。</w:t>
      </w:r>
      <w:r>
        <w:rPr>
          <w:rFonts w:hint="eastAsia"/>
          <w:highlight w:val="none"/>
          <w:lang w:val="en-US" w:eastAsia="zh-CN"/>
        </w:rPr>
        <w:t>一年来，</w:t>
      </w:r>
      <w:r>
        <w:rPr>
          <w:rFonts w:hint="eastAsia"/>
          <w:highlight w:val="none"/>
          <w:lang w:eastAsia="zh-CN"/>
        </w:rPr>
        <w:t>较好地完成疫情防控任务，</w:t>
      </w:r>
      <w:r>
        <w:rPr>
          <w:rFonts w:hint="eastAsia"/>
          <w:highlight w:val="none"/>
          <w:lang w:val="en-US" w:eastAsia="zh-CN"/>
        </w:rPr>
        <w:t>协调市县两级医院给12名台胞台属打疫苗，受到台胞的称赞。全市10家台资企业全部复工复产，且无一人感染。</w:t>
      </w:r>
      <w:r>
        <w:rPr>
          <w:rFonts w:hint="eastAsia"/>
          <w:highlight w:val="none"/>
        </w:rPr>
        <w:t>接种覆盖率</w:t>
      </w:r>
      <w:r>
        <w:rPr>
          <w:rFonts w:hint="eastAsia"/>
          <w:highlight w:val="none"/>
          <w:lang w:val="en-US" w:eastAsia="zh-CN"/>
        </w:rPr>
        <w:t>100%。</w:t>
      </w:r>
    </w:p>
    <w:p>
      <w:pPr>
        <w:ind w:firstLine="640"/>
        <w:rPr>
          <w:rFonts w:hint="eastAsia"/>
          <w:highlight w:val="none"/>
          <w:lang w:val="en-US" w:eastAsia="zh-CN"/>
        </w:rPr>
      </w:pPr>
      <w:r>
        <w:rPr>
          <w:rFonts w:hint="eastAsia"/>
          <w:highlight w:val="none"/>
          <w:lang w:val="en-US" w:eastAsia="zh-CN"/>
        </w:rPr>
        <w:t>组织</w:t>
      </w:r>
      <w:r>
        <w:rPr>
          <w:rFonts w:hint="eastAsia"/>
          <w:highlight w:val="none"/>
          <w:lang w:eastAsia="zh-CN"/>
        </w:rPr>
        <w:t>参与招商联谊会</w:t>
      </w:r>
      <w:r>
        <w:rPr>
          <w:rFonts w:hint="eastAsia"/>
          <w:highlight w:val="none"/>
          <w:lang w:val="en-US" w:eastAsia="zh-CN"/>
        </w:rPr>
        <w:t>4</w:t>
      </w:r>
      <w:r>
        <w:rPr>
          <w:rFonts w:hint="eastAsia"/>
          <w:highlight w:val="none"/>
          <w:lang w:eastAsia="zh-CN"/>
        </w:rPr>
        <w:t>次</w:t>
      </w:r>
      <w:r>
        <w:rPr>
          <w:rFonts w:hint="eastAsia"/>
          <w:highlight w:val="none"/>
          <w:lang w:val="en-US" w:eastAsia="zh-CN"/>
        </w:rPr>
        <w:t>，</w:t>
      </w:r>
      <w:r>
        <w:rPr>
          <w:rFonts w:hint="eastAsia"/>
          <w:highlight w:val="none"/>
          <w:lang w:eastAsia="zh-CN"/>
        </w:rPr>
        <w:t>参与全市招商引资活动</w:t>
      </w:r>
      <w:r>
        <w:rPr>
          <w:rFonts w:hint="eastAsia"/>
          <w:highlight w:val="none"/>
          <w:lang w:val="en-US" w:eastAsia="zh-CN"/>
        </w:rPr>
        <w:t>1次</w:t>
      </w:r>
      <w:r>
        <w:rPr>
          <w:rFonts w:hint="eastAsia"/>
          <w:highlight w:val="none"/>
          <w:lang w:eastAsia="zh-CN"/>
        </w:rPr>
        <w:t>，台海局势报告会</w:t>
      </w:r>
      <w:r>
        <w:rPr>
          <w:rFonts w:hint="eastAsia"/>
          <w:highlight w:val="none"/>
          <w:lang w:val="en-US" w:eastAsia="zh-CN"/>
        </w:rPr>
        <w:t>1次。</w:t>
      </w:r>
    </w:p>
    <w:p>
      <w:pPr>
        <w:ind w:firstLine="640"/>
        <w:rPr>
          <w:rFonts w:hint="default"/>
          <w:highlight w:val="none"/>
          <w:lang w:val="en-US"/>
        </w:rPr>
      </w:pPr>
      <w:r>
        <w:rPr>
          <w:rFonts w:hint="eastAsia"/>
          <w:highlight w:val="none"/>
          <w:lang w:val="en-US" w:eastAsia="zh-CN"/>
        </w:rPr>
        <w:t>2021年</w:t>
      </w:r>
      <w:r>
        <w:rPr>
          <w:rFonts w:hint="eastAsia" w:ascii="仿宋" w:hAnsi="仿宋" w:eastAsia="仿宋" w:cs="仿宋"/>
          <w:sz w:val="32"/>
          <w:szCs w:val="32"/>
          <w:lang w:val="en-US" w:eastAsia="zh-CN"/>
        </w:rPr>
        <w:t>4月份组织全市参加全省“百年圆梦 见证辉煌”河南省党史及涉台知识网络大赛</w:t>
      </w:r>
      <w:r>
        <w:rPr>
          <w:rFonts w:hint="eastAsia" w:cs="仿宋"/>
          <w:sz w:val="32"/>
          <w:szCs w:val="32"/>
          <w:lang w:val="en-US" w:eastAsia="zh-CN"/>
        </w:rPr>
        <w:t>；2021年</w:t>
      </w:r>
      <w:r>
        <w:rPr>
          <w:rFonts w:hint="eastAsia" w:ascii="仿宋" w:hAnsi="仿宋" w:eastAsia="仿宋" w:cs="仿宋"/>
          <w:sz w:val="32"/>
          <w:szCs w:val="32"/>
          <w:lang w:val="en-US" w:eastAsia="zh-CN"/>
        </w:rPr>
        <w:t>6月25日推荐2名台胞及陆配子女参加2021河南省两岸青年交流月台胞青年“豫见华夏 感知中原”夏令营活动</w:t>
      </w:r>
      <w:r>
        <w:rPr>
          <w:rFonts w:hint="eastAsia" w:cs="仿宋"/>
          <w:sz w:val="32"/>
          <w:szCs w:val="32"/>
          <w:lang w:val="en-US" w:eastAsia="zh-CN"/>
        </w:rPr>
        <w:t>；</w:t>
      </w:r>
      <w:r>
        <w:rPr>
          <w:rFonts w:hint="eastAsia" w:ascii="仿宋" w:hAnsi="仿宋" w:eastAsia="仿宋" w:cs="仿宋"/>
          <w:sz w:val="32"/>
          <w:szCs w:val="32"/>
          <w:lang w:val="en-US" w:eastAsia="zh-CN"/>
        </w:rPr>
        <w:t>市台办积极参与2021年第二十七届三门峡黄河文化旅游节暨第八届中国特色商品博览交易会有关活动，与组委会多次沟通协调，组织台商台企参展</w:t>
      </w:r>
      <w:r>
        <w:rPr>
          <w:rFonts w:hint="eastAsia" w:cs="仿宋"/>
          <w:sz w:val="32"/>
          <w:szCs w:val="32"/>
          <w:lang w:val="en-US" w:eastAsia="zh-CN"/>
        </w:rPr>
        <w:t>；2021年</w:t>
      </w:r>
      <w:r>
        <w:rPr>
          <w:rFonts w:hint="eastAsia" w:ascii="仿宋" w:hAnsi="仿宋" w:eastAsia="仿宋" w:cs="仿宋"/>
          <w:sz w:val="32"/>
          <w:szCs w:val="32"/>
          <w:lang w:val="en-US" w:eastAsia="zh-CN"/>
        </w:rPr>
        <w:t>10月19日市台办派员到陕州区给140余名区直及乡镇分管统战对台工作的党员干部举办台海知识讲座</w:t>
      </w:r>
      <w:r>
        <w:rPr>
          <w:rFonts w:hint="eastAsia" w:cs="仿宋"/>
          <w:sz w:val="32"/>
          <w:szCs w:val="32"/>
          <w:lang w:val="en-US" w:eastAsia="zh-CN"/>
        </w:rPr>
        <w:t>；</w:t>
      </w:r>
      <w:r>
        <w:rPr>
          <w:rFonts w:hint="eastAsia" w:ascii="仿宋" w:hAnsi="仿宋" w:eastAsia="仿宋" w:cs="仿宋"/>
          <w:sz w:val="32"/>
          <w:szCs w:val="32"/>
          <w:lang w:val="en-US" w:eastAsia="zh-CN"/>
        </w:rPr>
        <w:t>推荐2人次分别到省社会主义学院及南阳参加省台办、省台联组织的培训和考察活动，提升对台干部理论知识水平</w:t>
      </w:r>
      <w:r>
        <w:rPr>
          <w:rFonts w:hint="eastAsia" w:cs="仿宋"/>
          <w:sz w:val="32"/>
          <w:szCs w:val="32"/>
          <w:lang w:val="en-US" w:eastAsia="zh-CN"/>
        </w:rPr>
        <w:t>；2021年</w:t>
      </w:r>
      <w:r>
        <w:rPr>
          <w:rFonts w:hint="eastAsia" w:ascii="仿宋" w:hAnsi="仿宋" w:eastAsia="仿宋" w:cs="仿宋"/>
          <w:sz w:val="32"/>
          <w:szCs w:val="32"/>
          <w:lang w:val="en-US" w:eastAsia="zh-CN"/>
        </w:rPr>
        <w:t>2月23日参加全省对台工作会议，26日上午给市委常委会汇报全省对台工作会议精神，当日下午在全市统战工作会议结束之后随即召开全市对台工作会议进行部署，全市对台工作会议精神传达提纲在最短时间内下发到各县（市、区），保证了全市对台工作顺利开展。</w:t>
      </w:r>
      <w:r>
        <w:rPr>
          <w:rFonts w:hint="eastAsia" w:cs="仿宋"/>
          <w:sz w:val="32"/>
          <w:szCs w:val="32"/>
          <w:lang w:val="en-US" w:eastAsia="zh-CN"/>
        </w:rPr>
        <w:t>因疫情原因，一些工作计划未实施。</w:t>
      </w:r>
    </w:p>
    <w:p>
      <w:pPr>
        <w:ind w:firstLine="640"/>
        <w:rPr>
          <w:highlight w:val="none"/>
        </w:rPr>
      </w:pPr>
      <w:r>
        <w:rPr>
          <w:rFonts w:hint="eastAsia"/>
          <w:highlight w:val="none"/>
        </w:rPr>
        <w:t>综上所述，根据评分标准，数量指标标准分值</w:t>
      </w:r>
      <w:r>
        <w:rPr>
          <w:rFonts w:hint="eastAsia"/>
          <w:highlight w:val="none"/>
          <w:lang w:val="en-US" w:eastAsia="zh-CN"/>
        </w:rPr>
        <w:t>14</w:t>
      </w:r>
      <w:r>
        <w:rPr>
          <w:rFonts w:hint="eastAsia"/>
          <w:highlight w:val="none"/>
        </w:rPr>
        <w:t>分</w:t>
      </w:r>
      <w:r>
        <w:rPr>
          <w:rFonts w:hint="eastAsia"/>
          <w:highlight w:val="none"/>
          <w:lang w:eastAsia="zh-CN"/>
        </w:rPr>
        <w:t>，</w:t>
      </w:r>
      <w:r>
        <w:rPr>
          <w:rFonts w:hint="eastAsia"/>
          <w:highlight w:val="none"/>
        </w:rPr>
        <w:t>实际得</w:t>
      </w:r>
      <w:r>
        <w:rPr>
          <w:rFonts w:hint="eastAsia"/>
          <w:highlight w:val="none"/>
          <w:lang w:val="en-US" w:eastAsia="zh-CN"/>
        </w:rPr>
        <w:t>12</w:t>
      </w:r>
      <w:r>
        <w:rPr>
          <w:highlight w:val="none"/>
        </w:rPr>
        <w:t>分。</w:t>
      </w:r>
    </w:p>
    <w:p>
      <w:pPr>
        <w:ind w:firstLine="640"/>
        <w:rPr>
          <w:highlight w:val="none"/>
        </w:rPr>
      </w:pPr>
      <w:r>
        <w:rPr>
          <w:rFonts w:hint="eastAsia"/>
          <w:highlight w:val="none"/>
        </w:rPr>
        <w:t>（2）质量指标</w:t>
      </w:r>
    </w:p>
    <w:p>
      <w:pPr>
        <w:ind w:firstLine="640"/>
        <w:rPr>
          <w:highlight w:val="none"/>
        </w:rPr>
      </w:pPr>
      <w:r>
        <w:rPr>
          <w:rFonts w:hint="eastAsia"/>
          <w:highlight w:val="none"/>
        </w:rPr>
        <w:t>“质量指标”下设</w:t>
      </w:r>
      <w:r>
        <w:rPr>
          <w:rFonts w:hint="eastAsia"/>
          <w:highlight w:val="none"/>
          <w:lang w:val="en-US" w:eastAsia="zh-CN"/>
        </w:rPr>
        <w:t>四</w:t>
      </w:r>
      <w:r>
        <w:rPr>
          <w:rFonts w:hint="eastAsia"/>
          <w:highlight w:val="none"/>
        </w:rPr>
        <w:t>个三级指标“接种完成率”</w:t>
      </w:r>
      <w:r>
        <w:rPr>
          <w:rFonts w:hint="eastAsia"/>
          <w:highlight w:val="none"/>
          <w:lang w:eastAsia="zh-CN"/>
        </w:rPr>
        <w:t>、“参与招商联谊会完成率”、“参与全市招商引资活动完成率”</w:t>
      </w:r>
      <w:r>
        <w:rPr>
          <w:rFonts w:hint="eastAsia"/>
          <w:highlight w:val="none"/>
        </w:rPr>
        <w:t>和“台海局势报告会到位率”。</w:t>
      </w:r>
    </w:p>
    <w:p>
      <w:pPr>
        <w:ind w:firstLine="640"/>
        <w:rPr>
          <w:highlight w:val="none"/>
        </w:rPr>
      </w:pPr>
      <w:r>
        <w:rPr>
          <w:rFonts w:hint="eastAsia"/>
          <w:highlight w:val="none"/>
        </w:rPr>
        <w:t>截止2021年12月31日，</w:t>
      </w:r>
      <w:r>
        <w:rPr>
          <w:rFonts w:hint="eastAsia"/>
          <w:highlight w:val="none"/>
          <w:lang w:val="en-US" w:eastAsia="zh-CN"/>
        </w:rPr>
        <w:t>协调市县两级医院给12名台胞台属打疫苗，受到台胞的称赞。全市10家台资企业全部复工复产，且无一人感染。</w:t>
      </w:r>
      <w:r>
        <w:rPr>
          <w:rFonts w:hint="eastAsia"/>
          <w:highlight w:val="none"/>
        </w:rPr>
        <w:t>接种</w:t>
      </w:r>
      <w:r>
        <w:rPr>
          <w:rFonts w:hint="eastAsia"/>
          <w:highlight w:val="none"/>
          <w:lang w:val="en-US" w:eastAsia="zh-CN"/>
        </w:rPr>
        <w:t>完成</w:t>
      </w:r>
      <w:r>
        <w:rPr>
          <w:rFonts w:hint="eastAsia"/>
          <w:highlight w:val="none"/>
        </w:rPr>
        <w:t>率</w:t>
      </w:r>
      <w:r>
        <w:rPr>
          <w:rFonts w:hint="eastAsia"/>
          <w:highlight w:val="none"/>
          <w:lang w:val="en-US" w:eastAsia="zh-CN"/>
        </w:rPr>
        <w:t>100%；组织</w:t>
      </w:r>
      <w:r>
        <w:rPr>
          <w:rFonts w:hint="eastAsia"/>
          <w:highlight w:val="none"/>
          <w:lang w:eastAsia="zh-CN"/>
        </w:rPr>
        <w:t>参与招商联谊会</w:t>
      </w:r>
      <w:r>
        <w:rPr>
          <w:rFonts w:hint="eastAsia"/>
          <w:highlight w:val="none"/>
          <w:lang w:val="en-US" w:eastAsia="zh-CN"/>
        </w:rPr>
        <w:t>4</w:t>
      </w:r>
      <w:r>
        <w:rPr>
          <w:rFonts w:hint="eastAsia"/>
          <w:highlight w:val="none"/>
          <w:lang w:eastAsia="zh-CN"/>
        </w:rPr>
        <w:t>次</w:t>
      </w:r>
      <w:r>
        <w:rPr>
          <w:rFonts w:hint="eastAsia"/>
          <w:highlight w:val="none"/>
          <w:lang w:val="en-US" w:eastAsia="zh-CN"/>
        </w:rPr>
        <w:t>，</w:t>
      </w:r>
      <w:r>
        <w:rPr>
          <w:rFonts w:hint="eastAsia"/>
          <w:highlight w:val="none"/>
          <w:lang w:eastAsia="zh-CN"/>
        </w:rPr>
        <w:t>参与招商联谊会完成率</w:t>
      </w:r>
      <w:r>
        <w:rPr>
          <w:rFonts w:hint="eastAsia"/>
          <w:highlight w:val="none"/>
          <w:lang w:val="en-US" w:eastAsia="zh-CN"/>
        </w:rPr>
        <w:t>100%；</w:t>
      </w:r>
      <w:r>
        <w:rPr>
          <w:rFonts w:hint="eastAsia"/>
          <w:highlight w:val="none"/>
          <w:lang w:eastAsia="zh-CN"/>
        </w:rPr>
        <w:t>参与全市招商引资活动</w:t>
      </w:r>
      <w:r>
        <w:rPr>
          <w:rFonts w:hint="eastAsia"/>
          <w:highlight w:val="none"/>
          <w:lang w:val="en-US" w:eastAsia="zh-CN"/>
        </w:rPr>
        <w:t>1次</w:t>
      </w:r>
      <w:r>
        <w:rPr>
          <w:rFonts w:hint="eastAsia"/>
          <w:highlight w:val="none"/>
          <w:lang w:eastAsia="zh-CN"/>
        </w:rPr>
        <w:t>，参与全市招商引资活动完成率</w:t>
      </w:r>
      <w:r>
        <w:rPr>
          <w:rFonts w:hint="eastAsia"/>
          <w:highlight w:val="none"/>
          <w:lang w:val="en-US" w:eastAsia="zh-CN"/>
        </w:rPr>
        <w:t>100%；</w:t>
      </w:r>
      <w:r>
        <w:rPr>
          <w:rFonts w:hint="eastAsia"/>
          <w:highlight w:val="none"/>
          <w:lang w:eastAsia="zh-CN"/>
        </w:rPr>
        <w:t>台海局势报告会</w:t>
      </w:r>
      <w:r>
        <w:rPr>
          <w:rFonts w:hint="eastAsia"/>
          <w:highlight w:val="none"/>
          <w:lang w:val="en-US" w:eastAsia="zh-CN"/>
        </w:rPr>
        <w:t>1次，</w:t>
      </w:r>
      <w:r>
        <w:rPr>
          <w:rFonts w:hint="eastAsia"/>
          <w:highlight w:val="none"/>
        </w:rPr>
        <w:t>经查看活动签到表，台海局势报告会到位率</w:t>
      </w:r>
      <w:r>
        <w:rPr>
          <w:rFonts w:hint="eastAsia"/>
          <w:highlight w:val="none"/>
          <w:lang w:val="en-US" w:eastAsia="zh-CN"/>
        </w:rPr>
        <w:t>100%。活动</w:t>
      </w:r>
      <w:r>
        <w:rPr>
          <w:rFonts w:hint="eastAsia"/>
          <w:highlight w:val="none"/>
        </w:rPr>
        <w:t>均已圆满完成</w:t>
      </w:r>
      <w:r>
        <w:rPr>
          <w:rFonts w:hint="eastAsia"/>
          <w:highlight w:val="none"/>
          <w:lang w:eastAsia="zh-CN"/>
        </w:rPr>
        <w:t>，</w:t>
      </w:r>
      <w:r>
        <w:rPr>
          <w:rFonts w:hint="eastAsia"/>
          <w:highlight w:val="none"/>
        </w:rPr>
        <w:t>完成预期指标。</w:t>
      </w:r>
    </w:p>
    <w:p>
      <w:pPr>
        <w:ind w:firstLine="640"/>
        <w:rPr>
          <w:highlight w:val="none"/>
        </w:rPr>
      </w:pPr>
      <w:r>
        <w:rPr>
          <w:rFonts w:hint="eastAsia"/>
          <w:highlight w:val="none"/>
        </w:rPr>
        <w:t>综上所述，根据评分标准，质量指标标准分值</w:t>
      </w:r>
      <w:r>
        <w:rPr>
          <w:rFonts w:hint="eastAsia"/>
          <w:highlight w:val="none"/>
          <w:lang w:val="en-US" w:eastAsia="zh-CN"/>
        </w:rPr>
        <w:t>14</w:t>
      </w:r>
      <w:r>
        <w:rPr>
          <w:rFonts w:hint="eastAsia"/>
          <w:highlight w:val="none"/>
        </w:rPr>
        <w:t>分</w:t>
      </w:r>
      <w:r>
        <w:rPr>
          <w:rFonts w:hint="eastAsia"/>
          <w:highlight w:val="none"/>
          <w:lang w:eastAsia="zh-CN"/>
        </w:rPr>
        <w:t>，</w:t>
      </w:r>
      <w:r>
        <w:rPr>
          <w:rFonts w:hint="eastAsia"/>
          <w:highlight w:val="none"/>
        </w:rPr>
        <w:t>实际得</w:t>
      </w:r>
      <w:r>
        <w:rPr>
          <w:highlight w:val="none"/>
        </w:rPr>
        <w:t>1</w:t>
      </w:r>
      <w:r>
        <w:rPr>
          <w:rFonts w:hint="eastAsia"/>
          <w:highlight w:val="none"/>
          <w:lang w:val="en-US" w:eastAsia="zh-CN"/>
        </w:rPr>
        <w:t>4</w:t>
      </w:r>
      <w:r>
        <w:rPr>
          <w:highlight w:val="none"/>
        </w:rPr>
        <w:t>分。</w:t>
      </w:r>
    </w:p>
    <w:p>
      <w:pPr>
        <w:ind w:firstLine="640"/>
        <w:rPr>
          <w:highlight w:val="none"/>
        </w:rPr>
      </w:pPr>
      <w:r>
        <w:rPr>
          <w:rFonts w:hint="eastAsia"/>
          <w:highlight w:val="none"/>
        </w:rPr>
        <w:t>（3）时效指标</w:t>
      </w:r>
    </w:p>
    <w:p>
      <w:pPr>
        <w:ind w:firstLine="640"/>
        <w:rPr>
          <w:highlight w:val="none"/>
        </w:rPr>
      </w:pPr>
      <w:r>
        <w:rPr>
          <w:rFonts w:hint="eastAsia"/>
          <w:highlight w:val="none"/>
        </w:rPr>
        <w:t>“时效指标”下设</w:t>
      </w:r>
      <w:r>
        <w:rPr>
          <w:rFonts w:hint="eastAsia"/>
          <w:highlight w:val="none"/>
          <w:lang w:val="en-US" w:eastAsia="zh-CN"/>
        </w:rPr>
        <w:t>四</w:t>
      </w:r>
      <w:r>
        <w:rPr>
          <w:rFonts w:hint="eastAsia"/>
          <w:highlight w:val="none"/>
        </w:rPr>
        <w:t>个三级指标“</w:t>
      </w:r>
      <w:r>
        <w:rPr>
          <w:rFonts w:hint="eastAsia" w:ascii="Times New Roman" w:hAnsi="Times New Roman"/>
          <w:highlight w:val="none"/>
          <w:lang w:val="en-US" w:eastAsia="zh-CN"/>
        </w:rPr>
        <w:t>接种及时性</w:t>
      </w:r>
      <w:r>
        <w:rPr>
          <w:rFonts w:hint="eastAsia"/>
          <w:highlight w:val="none"/>
        </w:rPr>
        <w:t>”</w:t>
      </w:r>
      <w:r>
        <w:rPr>
          <w:rFonts w:hint="eastAsia"/>
          <w:highlight w:val="none"/>
          <w:lang w:eastAsia="zh-CN"/>
        </w:rPr>
        <w:t>、“完成招商联谊会时间”、“完成全市招商引资时间”</w:t>
      </w:r>
      <w:r>
        <w:rPr>
          <w:rFonts w:hint="eastAsia"/>
          <w:highlight w:val="none"/>
          <w:lang w:val="en-US" w:eastAsia="zh-CN"/>
        </w:rPr>
        <w:t>和“台海局势报告会时间”</w:t>
      </w:r>
      <w:r>
        <w:rPr>
          <w:rFonts w:hint="eastAsia"/>
          <w:highlight w:val="none"/>
        </w:rPr>
        <w:t>。</w:t>
      </w:r>
    </w:p>
    <w:p>
      <w:pPr>
        <w:ind w:firstLine="640"/>
        <w:rPr>
          <w:rFonts w:hint="eastAsia"/>
          <w:highlight w:val="none"/>
          <w:lang w:eastAsia="zh-CN"/>
        </w:rPr>
      </w:pPr>
      <w:r>
        <w:rPr>
          <w:rFonts w:hint="eastAsia"/>
          <w:highlight w:val="none"/>
        </w:rPr>
        <w:t>截止2021年12月31日，</w:t>
      </w:r>
      <w:r>
        <w:rPr>
          <w:rFonts w:hint="eastAsia"/>
          <w:highlight w:val="none"/>
          <w:lang w:val="en-US" w:eastAsia="zh-CN"/>
        </w:rPr>
        <w:t>协调市县两级医院给12名台胞台属打疫苗，受到台胞的称赞。全市10家台资企业全部复工复产，且无一人感染。接种及时，</w:t>
      </w:r>
      <w:r>
        <w:rPr>
          <w:rFonts w:hint="eastAsia"/>
          <w:highlight w:val="none"/>
        </w:rPr>
        <w:t>接种</w:t>
      </w:r>
      <w:r>
        <w:rPr>
          <w:rFonts w:hint="eastAsia"/>
          <w:highlight w:val="none"/>
          <w:lang w:val="en-US" w:eastAsia="zh-CN"/>
        </w:rPr>
        <w:t>完成</w:t>
      </w:r>
      <w:r>
        <w:rPr>
          <w:rFonts w:hint="eastAsia"/>
          <w:highlight w:val="none"/>
        </w:rPr>
        <w:t>率</w:t>
      </w:r>
      <w:r>
        <w:rPr>
          <w:rFonts w:hint="eastAsia"/>
          <w:highlight w:val="none"/>
          <w:lang w:val="en-US" w:eastAsia="zh-CN"/>
        </w:rPr>
        <w:t>100%；组织</w:t>
      </w:r>
      <w:r>
        <w:rPr>
          <w:rFonts w:hint="eastAsia"/>
          <w:highlight w:val="none"/>
          <w:lang w:eastAsia="zh-CN"/>
        </w:rPr>
        <w:t>参与招商联谊会</w:t>
      </w:r>
      <w:r>
        <w:rPr>
          <w:rFonts w:hint="eastAsia"/>
          <w:highlight w:val="none"/>
          <w:lang w:val="en-US" w:eastAsia="zh-CN"/>
        </w:rPr>
        <w:t>4</w:t>
      </w:r>
      <w:r>
        <w:rPr>
          <w:rFonts w:hint="eastAsia"/>
          <w:highlight w:val="none"/>
          <w:lang w:eastAsia="zh-CN"/>
        </w:rPr>
        <w:t>次</w:t>
      </w:r>
      <w:r>
        <w:rPr>
          <w:rFonts w:hint="eastAsia"/>
          <w:highlight w:val="none"/>
          <w:lang w:val="en-US" w:eastAsia="zh-CN"/>
        </w:rPr>
        <w:t>，</w:t>
      </w:r>
      <w:r>
        <w:rPr>
          <w:rFonts w:hint="eastAsia"/>
          <w:highlight w:val="none"/>
          <w:lang w:eastAsia="zh-CN"/>
        </w:rPr>
        <w:t>参与全市招商引资活动</w:t>
      </w:r>
      <w:r>
        <w:rPr>
          <w:rFonts w:hint="eastAsia"/>
          <w:highlight w:val="none"/>
          <w:lang w:val="en-US" w:eastAsia="zh-CN"/>
        </w:rPr>
        <w:t>1次</w:t>
      </w:r>
      <w:r>
        <w:rPr>
          <w:rFonts w:hint="eastAsia"/>
          <w:highlight w:val="none"/>
          <w:lang w:eastAsia="zh-CN"/>
        </w:rPr>
        <w:t>，</w:t>
      </w:r>
      <w:r>
        <w:rPr>
          <w:rFonts w:hint="eastAsia"/>
          <w:highlight w:val="none"/>
          <w:lang w:val="en-US" w:eastAsia="zh-CN"/>
        </w:rPr>
        <w:t>及时参与活动开展，学习会议精神；</w:t>
      </w:r>
      <w:r>
        <w:rPr>
          <w:rFonts w:hint="eastAsia"/>
          <w:highlight w:val="none"/>
          <w:lang w:eastAsia="zh-CN"/>
        </w:rPr>
        <w:t>台海局势报告会</w:t>
      </w:r>
      <w:r>
        <w:rPr>
          <w:rFonts w:hint="eastAsia"/>
          <w:highlight w:val="none"/>
          <w:lang w:val="en-US" w:eastAsia="zh-CN"/>
        </w:rPr>
        <w:t>1次，于</w:t>
      </w:r>
      <w:r>
        <w:rPr>
          <w:rFonts w:hint="eastAsia" w:cs="仿宋"/>
          <w:sz w:val="32"/>
          <w:szCs w:val="32"/>
          <w:lang w:val="en-US" w:eastAsia="zh-CN"/>
        </w:rPr>
        <w:t>2021年</w:t>
      </w:r>
      <w:r>
        <w:rPr>
          <w:rFonts w:hint="eastAsia" w:ascii="仿宋" w:hAnsi="仿宋" w:eastAsia="仿宋" w:cs="仿宋"/>
          <w:sz w:val="32"/>
          <w:szCs w:val="32"/>
          <w:lang w:val="en-US" w:eastAsia="zh-CN"/>
        </w:rPr>
        <w:t>10月19日市台办派员到陕州区给140余名区直及乡镇分管统战对台工作的党员干</w:t>
      </w:r>
      <w:r>
        <w:rPr>
          <w:rFonts w:hint="eastAsia" w:ascii="仿宋" w:hAnsi="仿宋" w:eastAsia="仿宋" w:cs="仿宋"/>
          <w:sz w:val="32"/>
          <w:szCs w:val="32"/>
          <w:highlight w:val="none"/>
          <w:lang w:val="en-US" w:eastAsia="zh-CN"/>
        </w:rPr>
        <w:t>部举办台海知识讲座</w:t>
      </w:r>
      <w:r>
        <w:rPr>
          <w:rFonts w:hint="eastAsia"/>
          <w:highlight w:val="none"/>
          <w:lang w:val="en-US" w:eastAsia="zh-CN"/>
        </w:rPr>
        <w:t>。并圆满成功</w:t>
      </w:r>
      <w:r>
        <w:rPr>
          <w:rFonts w:hint="eastAsia"/>
          <w:highlight w:val="none"/>
          <w:lang w:eastAsia="zh-CN"/>
        </w:rPr>
        <w:t>。</w:t>
      </w:r>
    </w:p>
    <w:p>
      <w:pPr>
        <w:ind w:firstLine="640"/>
        <w:rPr>
          <w:rFonts w:hint="eastAsia"/>
          <w:highlight w:val="none"/>
        </w:rPr>
      </w:pPr>
      <w:r>
        <w:rPr>
          <w:rFonts w:hint="eastAsia"/>
          <w:highlight w:val="none"/>
          <w:lang w:eastAsia="zh-CN"/>
        </w:rPr>
        <w:t>综上所述，根据评分标准，</w:t>
      </w:r>
      <w:r>
        <w:rPr>
          <w:rFonts w:hint="eastAsia"/>
          <w:highlight w:val="none"/>
          <w:lang w:val="en-US" w:eastAsia="zh-CN"/>
        </w:rPr>
        <w:t>时效</w:t>
      </w:r>
      <w:r>
        <w:rPr>
          <w:rFonts w:hint="eastAsia"/>
          <w:highlight w:val="none"/>
          <w:lang w:eastAsia="zh-CN"/>
        </w:rPr>
        <w:t>指标</w:t>
      </w:r>
      <w:r>
        <w:rPr>
          <w:rFonts w:hint="eastAsia"/>
          <w:highlight w:val="none"/>
        </w:rPr>
        <w:t>标准分值</w:t>
      </w:r>
      <w:r>
        <w:rPr>
          <w:rFonts w:hint="eastAsia"/>
          <w:highlight w:val="none"/>
          <w:lang w:val="en-US" w:eastAsia="zh-CN"/>
        </w:rPr>
        <w:t>14</w:t>
      </w:r>
      <w:r>
        <w:rPr>
          <w:rFonts w:hint="eastAsia"/>
          <w:highlight w:val="none"/>
        </w:rPr>
        <w:t>分</w:t>
      </w:r>
      <w:r>
        <w:rPr>
          <w:rFonts w:hint="eastAsia"/>
          <w:highlight w:val="none"/>
          <w:lang w:eastAsia="zh-CN"/>
        </w:rPr>
        <w:t>，</w:t>
      </w:r>
      <w:r>
        <w:rPr>
          <w:rFonts w:hint="eastAsia"/>
          <w:highlight w:val="none"/>
        </w:rPr>
        <w:t>实际得</w:t>
      </w:r>
      <w:r>
        <w:rPr>
          <w:highlight w:val="none"/>
        </w:rPr>
        <w:t>1</w:t>
      </w:r>
      <w:r>
        <w:rPr>
          <w:rFonts w:hint="eastAsia"/>
          <w:highlight w:val="none"/>
          <w:lang w:val="en-US" w:eastAsia="zh-CN"/>
        </w:rPr>
        <w:t>4</w:t>
      </w:r>
      <w:r>
        <w:rPr>
          <w:highlight w:val="none"/>
        </w:rPr>
        <w:t>分。</w:t>
      </w:r>
    </w:p>
    <w:p>
      <w:pPr>
        <w:ind w:firstLine="640"/>
      </w:pPr>
      <w:r>
        <w:rPr>
          <w:rFonts w:hint="eastAsia"/>
        </w:rPr>
        <w:t>（1）成本指标</w:t>
      </w:r>
    </w:p>
    <w:p>
      <w:pPr>
        <w:ind w:firstLine="640"/>
        <w:rPr>
          <w:highlight w:val="none"/>
        </w:rPr>
      </w:pPr>
      <w:r>
        <w:rPr>
          <w:rFonts w:hint="eastAsia"/>
          <w:highlight w:val="none"/>
        </w:rPr>
        <w:t>“</w:t>
      </w:r>
      <w:r>
        <w:rPr>
          <w:rFonts w:hint="eastAsia"/>
          <w:highlight w:val="none"/>
          <w:lang w:val="en-US" w:eastAsia="zh-CN"/>
        </w:rPr>
        <w:t>成本指标</w:t>
      </w:r>
      <w:r>
        <w:rPr>
          <w:rFonts w:hint="eastAsia"/>
          <w:highlight w:val="none"/>
        </w:rPr>
        <w:t>”下设</w:t>
      </w:r>
      <w:r>
        <w:rPr>
          <w:rFonts w:hint="eastAsia"/>
          <w:highlight w:val="none"/>
          <w:lang w:val="en-US" w:eastAsia="zh-CN"/>
        </w:rPr>
        <w:t>一</w:t>
      </w:r>
      <w:r>
        <w:rPr>
          <w:rFonts w:hint="eastAsia"/>
          <w:highlight w:val="none"/>
        </w:rPr>
        <w:t>个三级指标</w:t>
      </w:r>
      <w:r>
        <w:rPr>
          <w:rFonts w:hint="eastAsia"/>
          <w:highlight w:val="none"/>
          <w:lang w:eastAsia="zh-CN"/>
        </w:rPr>
        <w:t>：“</w:t>
      </w:r>
      <w:r>
        <w:rPr>
          <w:rFonts w:hint="eastAsia"/>
          <w:highlight w:val="none"/>
        </w:rPr>
        <w:t>总项目经费</w:t>
      </w:r>
      <w:r>
        <w:rPr>
          <w:rFonts w:hint="eastAsia"/>
          <w:highlight w:val="none"/>
          <w:lang w:eastAsia="zh-CN"/>
        </w:rPr>
        <w:t>”</w:t>
      </w:r>
    </w:p>
    <w:p>
      <w:pPr>
        <w:ind w:firstLine="640"/>
        <w:rPr>
          <w:highlight w:val="none"/>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5.65</w:t>
      </w:r>
      <w:r>
        <w:rPr>
          <w:rFonts w:hint="eastAsia"/>
          <w:highlight w:val="none"/>
        </w:rPr>
        <w:t>万元，实际支出</w:t>
      </w:r>
      <w:r>
        <w:rPr>
          <w:rFonts w:hint="eastAsia"/>
          <w:highlight w:val="none"/>
          <w:lang w:val="en-US" w:eastAsia="zh-CN"/>
        </w:rPr>
        <w:t>5.65</w:t>
      </w:r>
      <w:r>
        <w:rPr>
          <w:highlight w:val="none"/>
        </w:rPr>
        <w:t>万元</w:t>
      </w:r>
      <w:r>
        <w:rPr>
          <w:rFonts w:hint="eastAsia"/>
          <w:highlight w:val="none"/>
        </w:rPr>
        <w:t>，未超出预算批复金额，因此该项指标标准分值</w:t>
      </w:r>
      <w:r>
        <w:rPr>
          <w:rFonts w:hint="eastAsia"/>
          <w:highlight w:val="none"/>
          <w:lang w:val="en-US" w:eastAsia="zh-CN"/>
        </w:rPr>
        <w:t>8</w:t>
      </w:r>
      <w:r>
        <w:rPr>
          <w:rFonts w:hint="eastAsia"/>
          <w:highlight w:val="none"/>
        </w:rPr>
        <w:t>分，得</w:t>
      </w:r>
      <w:r>
        <w:rPr>
          <w:rFonts w:hint="eastAsia"/>
          <w:highlight w:val="none"/>
          <w:lang w:val="en-US" w:eastAsia="zh-CN"/>
        </w:rPr>
        <w:t>8</w:t>
      </w:r>
      <w:r>
        <w:rPr>
          <w:rFonts w:hint="eastAsia"/>
          <w:highlight w:val="none"/>
        </w:rPr>
        <w:t>分。</w:t>
      </w:r>
    </w:p>
    <w:p>
      <w:pPr>
        <w:pStyle w:val="6"/>
        <w:ind w:firstLine="643"/>
        <w:rPr>
          <w:highlight w:val="none"/>
        </w:rPr>
      </w:pPr>
      <w:bookmarkStart w:id="49" w:name="_Toc79333448"/>
      <w:r>
        <w:rPr>
          <w:highlight w:val="none"/>
        </w:rPr>
        <w:t>3、效益指标分析</w:t>
      </w:r>
      <w:bookmarkEnd w:id="49"/>
    </w:p>
    <w:p>
      <w:pPr>
        <w:ind w:firstLine="640"/>
        <w:rPr>
          <w:rFonts w:hint="eastAsia"/>
        </w:rPr>
      </w:pPr>
      <w:r>
        <w:rPr>
          <w:rFonts w:hint="eastAsia"/>
        </w:rPr>
        <w:t>一级指标“效益指标”下设一个二级指标为：“社会效益”。</w:t>
      </w:r>
    </w:p>
    <w:p>
      <w:pPr>
        <w:ind w:firstLine="640"/>
        <w:rPr>
          <w:rFonts w:hint="eastAsia"/>
        </w:rPr>
      </w:pPr>
      <w:r>
        <w:rPr>
          <w:rFonts w:hint="eastAsia"/>
        </w:rPr>
        <w:t>（1）社会效益</w:t>
      </w:r>
    </w:p>
    <w:p>
      <w:pPr>
        <w:ind w:firstLine="640"/>
        <w:rPr>
          <w:highlight w:val="none"/>
        </w:rPr>
      </w:pPr>
      <w:r>
        <w:rPr>
          <w:rFonts w:hint="eastAsia"/>
        </w:rPr>
        <w:t>“社会</w:t>
      </w:r>
      <w:r>
        <w:rPr>
          <w:rFonts w:hint="eastAsia"/>
          <w:highlight w:val="none"/>
        </w:rPr>
        <w:t>效益”下设</w:t>
      </w:r>
      <w:r>
        <w:rPr>
          <w:rFonts w:hint="eastAsia"/>
          <w:highlight w:val="none"/>
          <w:lang w:val="en-US" w:eastAsia="zh-CN"/>
        </w:rPr>
        <w:t>两个</w:t>
      </w:r>
      <w:r>
        <w:rPr>
          <w:rFonts w:hint="eastAsia"/>
          <w:highlight w:val="none"/>
        </w:rPr>
        <w:t>三级指标“促进两岸关系更好的发展”</w:t>
      </w:r>
      <w:r>
        <w:rPr>
          <w:rFonts w:hint="eastAsia"/>
          <w:highlight w:val="none"/>
          <w:lang w:val="en-US" w:eastAsia="zh-CN"/>
        </w:rPr>
        <w:t>和“促进当地经济发展，提高就业”</w:t>
      </w:r>
      <w:r>
        <w:rPr>
          <w:rFonts w:hint="eastAsia"/>
          <w:highlight w:val="none"/>
        </w:rPr>
        <w:t>。</w:t>
      </w:r>
    </w:p>
    <w:p>
      <w:pPr>
        <w:ind w:firstLine="640"/>
        <w:rPr>
          <w:rFonts w:hint="eastAsia"/>
          <w:highlight w:val="none"/>
        </w:rPr>
      </w:pPr>
      <w:r>
        <w:rPr>
          <w:rFonts w:hint="eastAsia"/>
          <w:highlight w:val="none"/>
          <w:lang w:val="en-US" w:eastAsia="zh-CN"/>
        </w:rPr>
        <w:t>项目经费主要用于接待对台交流、考察方面的各界人士所产生的接待经费，项目实施以来，</w:t>
      </w:r>
      <w:r>
        <w:rPr>
          <w:rFonts w:hint="eastAsia"/>
          <w:highlight w:val="none"/>
        </w:rPr>
        <w:t>扩展与常住台胞的交往，注重定居台胞与常住台胞的交流、定居台胞岛内台胞的交流，以“一节一会”为契机，做好与台企台商联谊招商、台湾名品展销等活动，促进两岸经贸往来。参与全市招商引资工作，促进当地经济增长。举办台海局势报告会，使领导干部准确把握台海形势，促进两岸统一。项目产生社会效益达成预期指标，该指标标准分值为</w:t>
      </w:r>
      <w:r>
        <w:rPr>
          <w:rFonts w:hint="eastAsia"/>
          <w:highlight w:val="none"/>
          <w:lang w:val="en-US" w:eastAsia="zh-CN"/>
        </w:rPr>
        <w:t>2</w:t>
      </w:r>
      <w:r>
        <w:rPr>
          <w:rFonts w:hint="eastAsia"/>
          <w:highlight w:val="none"/>
        </w:rPr>
        <w:t>0分，实际综合得分为</w:t>
      </w:r>
      <w:r>
        <w:rPr>
          <w:rFonts w:hint="eastAsia"/>
          <w:highlight w:val="none"/>
          <w:lang w:val="en-US" w:eastAsia="zh-CN"/>
        </w:rPr>
        <w:t>2</w:t>
      </w:r>
      <w:r>
        <w:rPr>
          <w:rFonts w:hint="eastAsia"/>
          <w:highlight w:val="none"/>
        </w:rPr>
        <w:t>0分。</w:t>
      </w:r>
    </w:p>
    <w:p>
      <w:pPr>
        <w:ind w:firstLine="640"/>
      </w:pPr>
      <w:r>
        <w:rPr>
          <w:rFonts w:hint="eastAsia"/>
        </w:rPr>
        <w:t>（</w:t>
      </w:r>
      <w:r>
        <w:t>2</w:t>
      </w:r>
      <w:r>
        <w:rPr>
          <w:rFonts w:hint="eastAsia"/>
        </w:rPr>
        <w:t>）可持续影响</w:t>
      </w:r>
    </w:p>
    <w:p>
      <w:pPr>
        <w:ind w:firstLine="640"/>
        <w:rPr>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三级指标“持续保持两岸友好发展”。</w:t>
      </w:r>
    </w:p>
    <w:p>
      <w:pPr>
        <w:ind w:firstLine="640"/>
        <w:rPr>
          <w:rFonts w:hint="eastAsia"/>
          <w:highlight w:val="none"/>
        </w:rPr>
      </w:pPr>
      <w:r>
        <w:rPr>
          <w:rFonts w:hint="eastAsia"/>
          <w:highlight w:val="none"/>
          <w:lang w:val="en-US" w:eastAsia="zh-CN"/>
        </w:rPr>
        <w:t>项目实施以来，根据台海形势发展变化，加大力度促进两岸经济文化交流合作，进一步扩大与台湾基层民众和青少年的交流力度，促进两岸统一，</w:t>
      </w:r>
      <w:r>
        <w:rPr>
          <w:rFonts w:hint="eastAsia"/>
          <w:highlight w:val="none"/>
        </w:rPr>
        <w:t>持续保持两岸友好发展</w:t>
      </w:r>
      <w:r>
        <w:rPr>
          <w:rFonts w:hint="eastAsia"/>
          <w:highlight w:val="none"/>
          <w:lang w:val="en-US" w:eastAsia="zh-CN"/>
        </w:rPr>
        <w:t>。具有可持续影响效益，</w:t>
      </w:r>
      <w:r>
        <w:rPr>
          <w:rFonts w:hint="eastAsia"/>
          <w:highlight w:val="none"/>
        </w:rPr>
        <w:t>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6"/>
        <w:ind w:firstLine="643"/>
        <w:rPr>
          <w:highlight w:val="none"/>
        </w:rPr>
      </w:pPr>
      <w:bookmarkStart w:id="50" w:name="_Toc79333449"/>
      <w:r>
        <w:rPr>
          <w:highlight w:val="none"/>
        </w:rPr>
        <w:t>4、满意度指标分析</w:t>
      </w:r>
      <w:bookmarkEnd w:id="50"/>
    </w:p>
    <w:p>
      <w:pPr>
        <w:ind w:firstLine="640"/>
        <w:rPr>
          <w:highlight w:val="none"/>
        </w:rPr>
      </w:pPr>
      <w:r>
        <w:rPr>
          <w:rFonts w:hint="eastAsia"/>
          <w:highlight w:val="none"/>
        </w:rPr>
        <w:t>满意度：本项目调查</w:t>
      </w:r>
      <w:r>
        <w:rPr>
          <w:rFonts w:hint="eastAsia"/>
          <w:highlight w:val="none"/>
          <w:lang w:val="en-US" w:eastAsia="zh-CN"/>
        </w:rPr>
        <w:t>台胞</w:t>
      </w:r>
      <w:r>
        <w:rPr>
          <w:rFonts w:hint="eastAsia"/>
          <w:highlight w:val="none"/>
        </w:rPr>
        <w:t>受益人群</w:t>
      </w:r>
      <w:r>
        <w:rPr>
          <w:rFonts w:hint="eastAsia"/>
          <w:highlight w:val="none"/>
          <w:lang w:val="en-US" w:eastAsia="zh-CN"/>
        </w:rPr>
        <w:t>30</w:t>
      </w:r>
      <w:r>
        <w:rPr>
          <w:rFonts w:hint="eastAsia"/>
          <w:highlight w:val="none"/>
        </w:rPr>
        <w:t>人，发放调查问卷</w:t>
      </w:r>
      <w:r>
        <w:rPr>
          <w:rFonts w:hint="eastAsia"/>
          <w:highlight w:val="none"/>
          <w:lang w:val="en-US" w:eastAsia="zh-CN"/>
        </w:rPr>
        <w:t>30</w:t>
      </w:r>
      <w:r>
        <w:rPr>
          <w:rFonts w:hint="eastAsia"/>
          <w:highlight w:val="none"/>
        </w:rPr>
        <w:t>份，回收</w:t>
      </w:r>
      <w:r>
        <w:rPr>
          <w:rFonts w:hint="eastAsia"/>
          <w:highlight w:val="none"/>
          <w:lang w:val="en-US" w:eastAsia="zh-CN"/>
        </w:rPr>
        <w:t>30</w:t>
      </w:r>
      <w:r>
        <w:rPr>
          <w:rFonts w:hint="eastAsia"/>
          <w:highlight w:val="none"/>
        </w:rPr>
        <w:t>份，其中有效问卷</w:t>
      </w:r>
      <w:r>
        <w:rPr>
          <w:rFonts w:hint="eastAsia"/>
          <w:highlight w:val="none"/>
          <w:lang w:val="en-US" w:eastAsia="zh-CN"/>
        </w:rPr>
        <w:t>30</w:t>
      </w:r>
      <w:r>
        <w:rPr>
          <w:rFonts w:hint="eastAsia"/>
          <w:highlight w:val="none"/>
        </w:rPr>
        <w:t>份。其中非常满意人数</w:t>
      </w:r>
      <w:r>
        <w:rPr>
          <w:rFonts w:hint="eastAsia"/>
          <w:highlight w:val="none"/>
          <w:lang w:val="en-US" w:eastAsia="zh-CN"/>
        </w:rPr>
        <w:t>29</w:t>
      </w:r>
      <w:r>
        <w:rPr>
          <w:rFonts w:hint="eastAsia"/>
          <w:highlight w:val="none"/>
        </w:rPr>
        <w:t>人，满意</w:t>
      </w:r>
      <w:r>
        <w:rPr>
          <w:rFonts w:hint="eastAsia"/>
          <w:highlight w:val="none"/>
          <w:lang w:val="en-US" w:eastAsia="zh-CN"/>
        </w:rPr>
        <w:t>1</w:t>
      </w:r>
      <w:r>
        <w:rPr>
          <w:rFonts w:hint="eastAsia"/>
          <w:highlight w:val="none"/>
        </w:rPr>
        <w:t>人，不满意</w:t>
      </w:r>
      <w:r>
        <w:rPr>
          <w:rFonts w:hint="eastAsia"/>
          <w:highlight w:val="none"/>
          <w:lang w:val="en-US" w:eastAsia="zh-CN"/>
        </w:rPr>
        <w:t>0</w:t>
      </w:r>
      <w:r>
        <w:rPr>
          <w:rFonts w:hint="eastAsia"/>
          <w:highlight w:val="none"/>
        </w:rPr>
        <w:t>人，综合满意度</w:t>
      </w:r>
      <w:r>
        <w:rPr>
          <w:rFonts w:hint="eastAsia"/>
          <w:highlight w:val="none"/>
          <w:lang w:val="en-US" w:eastAsia="zh-CN"/>
        </w:rPr>
        <w:t>达99</w:t>
      </w:r>
      <w:r>
        <w:rPr>
          <w:rFonts w:hint="eastAsia"/>
          <w:highlight w:val="none"/>
        </w:rPr>
        <w:t>%</w:t>
      </w:r>
      <w:r>
        <w:rPr>
          <w:rFonts w:hint="eastAsia"/>
          <w:highlight w:val="none"/>
          <w:lang w:val="en-US" w:eastAsia="zh-CN"/>
        </w:rPr>
        <w:t>以上</w:t>
      </w:r>
      <w:r>
        <w:rPr>
          <w:rFonts w:hint="eastAsia"/>
          <w:highlight w:val="none"/>
        </w:rPr>
        <w:t>，根据评分标准，该项指标标准分值10分，得分为</w:t>
      </w:r>
      <w:r>
        <w:rPr>
          <w:rFonts w:hint="eastAsia"/>
          <w:highlight w:val="none"/>
          <w:lang w:val="en-US" w:eastAsia="zh-CN"/>
        </w:rPr>
        <w:t>1</w:t>
      </w:r>
      <w:r>
        <w:rPr>
          <w:rFonts w:hint="eastAsia"/>
          <w:highlight w:val="none"/>
        </w:rPr>
        <w:t>0分。</w:t>
      </w:r>
    </w:p>
    <w:p>
      <w:pPr>
        <w:pStyle w:val="4"/>
      </w:pPr>
      <w:bookmarkStart w:id="51" w:name="_Toc79333450"/>
      <w:bookmarkStart w:id="52" w:name="_Toc29830"/>
      <w:bookmarkStart w:id="53" w:name="_Toc25695"/>
      <w:r>
        <w:rPr>
          <w:rFonts w:hint="eastAsia"/>
        </w:rPr>
        <w:t>四、成果和问题</w:t>
      </w:r>
      <w:bookmarkEnd w:id="51"/>
      <w:bookmarkEnd w:id="52"/>
      <w:bookmarkEnd w:id="53"/>
    </w:p>
    <w:p>
      <w:pPr>
        <w:pStyle w:val="5"/>
      </w:pPr>
      <w:bookmarkStart w:id="54" w:name="_Toc79333451"/>
      <w:bookmarkStart w:id="55" w:name="_Toc2933"/>
      <w:r>
        <w:rPr>
          <w:rFonts w:hint="eastAsia"/>
        </w:rPr>
        <w:t>（一）项目实施的成果</w:t>
      </w:r>
      <w:bookmarkEnd w:id="54"/>
      <w:bookmarkEnd w:id="55"/>
    </w:p>
    <w:p>
      <w:pPr>
        <w:ind w:firstLine="640"/>
        <w:rPr>
          <w:rFonts w:hint="eastAsia"/>
          <w:highlight w:val="none"/>
          <w:lang w:eastAsia="zh-CN"/>
        </w:rPr>
      </w:pPr>
      <w:r>
        <w:rPr>
          <w:rFonts w:hint="eastAsia"/>
          <w:highlight w:val="none"/>
          <w:lang w:val="en-US" w:eastAsia="zh-CN"/>
        </w:rPr>
        <w:t>通过</w:t>
      </w:r>
      <w:r>
        <w:rPr>
          <w:rFonts w:hint="eastAsia"/>
          <w:lang w:eastAsia="zh-CN"/>
        </w:rPr>
        <w:t>向台胞宣传党和政府的对台方针政策，弘扬台胞爱国爱乡的光荣传统，</w:t>
      </w:r>
      <w:r>
        <w:rPr>
          <w:rFonts w:hint="eastAsia"/>
          <w:highlight w:val="none"/>
        </w:rPr>
        <w:t>加强对台交流工作。注重定居台胞与常住台胞的交流、定居台胞岛内台胞的交流</w:t>
      </w:r>
      <w:r>
        <w:rPr>
          <w:rFonts w:hint="eastAsia"/>
          <w:highlight w:val="none"/>
          <w:lang w:eastAsia="zh-CN"/>
        </w:rPr>
        <w:t>。</w:t>
      </w:r>
      <w:r>
        <w:rPr>
          <w:rFonts w:hint="eastAsia"/>
          <w:highlight w:val="none"/>
        </w:rPr>
        <w:t>通过采取“请进来”和“引出去”多种方式，在使台胞、台商更全面、真实地了解古丈，同时也为进一步推进县台办对外之间经贸深层次交流合作打下了良好的基础。</w:t>
      </w:r>
    </w:p>
    <w:p>
      <w:pPr>
        <w:pStyle w:val="5"/>
        <w:rPr>
          <w:b/>
        </w:rPr>
      </w:pPr>
      <w:bookmarkStart w:id="56" w:name="_Toc79333452"/>
      <w:bookmarkStart w:id="57" w:name="_Toc6143"/>
      <w:r>
        <w:rPr>
          <w:rFonts w:hint="eastAsia"/>
        </w:rPr>
        <w:t>（二）项目存在的问题</w:t>
      </w:r>
      <w:bookmarkEnd w:id="56"/>
      <w:bookmarkEnd w:id="57"/>
    </w:p>
    <w:p>
      <w:pPr>
        <w:ind w:firstLine="643"/>
        <w:rPr>
          <w:highlight w:val="none"/>
        </w:rPr>
      </w:pPr>
      <w:r>
        <w:rPr>
          <w:rFonts w:hint="eastAsia"/>
          <w:b/>
          <w:highlight w:val="none"/>
        </w:rPr>
        <w:t>绩效管理方面</w:t>
      </w:r>
      <w:r>
        <w:rPr>
          <w:rFonts w:hint="eastAsia"/>
          <w:b/>
          <w:highlight w:val="none"/>
          <w:lang w:eastAsia="zh-CN"/>
        </w:rPr>
        <w:t>：</w:t>
      </w:r>
      <w:r>
        <w:rPr>
          <w:rFonts w:hint="eastAsia"/>
          <w:highlight w:val="none"/>
        </w:rPr>
        <w:t>一是经济效益指标设置有待进一步提升科学性，存在优化空间，需要进一步建立健全绩效评价指标体系，对个性化指标进行不断优化调整，在今后的预算编制工作中，绩效目标的设置需更加科学化、精细化。</w:t>
      </w:r>
    </w:p>
    <w:p>
      <w:pPr>
        <w:pStyle w:val="4"/>
        <w:rPr>
          <w:highlight w:val="none"/>
        </w:rPr>
      </w:pPr>
      <w:bookmarkStart w:id="58" w:name="_Toc27227"/>
      <w:bookmarkStart w:id="59" w:name="_Toc79333453"/>
      <w:bookmarkStart w:id="60" w:name="_Toc747"/>
      <w:r>
        <w:rPr>
          <w:rFonts w:hint="eastAsia"/>
          <w:highlight w:val="none"/>
        </w:rPr>
        <w:t>五、建议</w:t>
      </w:r>
      <w:bookmarkEnd w:id="58"/>
      <w:bookmarkEnd w:id="59"/>
      <w:bookmarkEnd w:id="60"/>
    </w:p>
    <w:p>
      <w:pPr>
        <w:pStyle w:val="5"/>
        <w:rPr>
          <w:highlight w:val="none"/>
        </w:rPr>
      </w:pPr>
      <w:bookmarkStart w:id="61" w:name="_Toc79333454"/>
      <w:bookmarkStart w:id="62" w:name="_Toc3771"/>
      <w:r>
        <w:rPr>
          <w:rFonts w:hint="eastAsia"/>
          <w:highlight w:val="none"/>
        </w:rPr>
        <w:t>（一）强化预算绩效管理意识，提升项目产出效益</w:t>
      </w:r>
      <w:bookmarkEnd w:id="61"/>
      <w:bookmarkEnd w:id="62"/>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5"/>
        <w:rPr>
          <w:highlight w:val="none"/>
        </w:rPr>
      </w:pPr>
      <w:bookmarkStart w:id="63" w:name="_Toc79333455"/>
      <w:bookmarkStart w:id="64" w:name="_Toc19202"/>
      <w:r>
        <w:rPr>
          <w:rFonts w:hint="eastAsia"/>
          <w:highlight w:val="none"/>
        </w:rPr>
        <w:t>（二）加强学习培训，进一步提高绩效管理水平</w:t>
      </w:r>
      <w:bookmarkEnd w:id="63"/>
      <w:bookmarkEnd w:id="64"/>
    </w:p>
    <w:p>
      <w:pPr>
        <w:ind w:firstLine="640"/>
        <w:rPr>
          <w:highlight w:val="none"/>
        </w:rPr>
      </w:pPr>
      <w:r>
        <w:rPr>
          <w:rFonts w:hint="default"/>
          <w:color w:val="000000" w:themeColor="text1"/>
          <w:highlight w:val="none"/>
          <w:lang w:val="zh-CN"/>
          <w14:textFill>
            <w14:solidFill>
              <w14:schemeClr w14:val="tx1"/>
            </w14:solidFill>
          </w14:textFill>
        </w:rPr>
        <w:t>建议细化预算指标，提高预算科学性。预算编制前根据年度内单位可预见的工作任务，确定单位年度预算目标，细化预算指标，科学合理编制</w:t>
      </w:r>
      <w:r>
        <w:rPr>
          <w:rFonts w:hint="eastAsia"/>
          <w:color w:val="000000" w:themeColor="text1"/>
          <w:highlight w:val="none"/>
          <w:lang w:val="en-US" w:eastAsia="zh-CN"/>
          <w14:textFill>
            <w14:solidFill>
              <w14:schemeClr w14:val="tx1"/>
            </w14:solidFill>
          </w14:textFill>
        </w:rPr>
        <w:t>项目</w:t>
      </w:r>
      <w:r>
        <w:rPr>
          <w:rFonts w:hint="default"/>
          <w:color w:val="000000" w:themeColor="text1"/>
          <w:highlight w:val="none"/>
          <w:lang w:val="zh-CN"/>
          <w14:textFill>
            <w14:solidFill>
              <w14:schemeClr w14:val="tx1"/>
            </w14:solidFill>
          </w14:textFill>
        </w:rPr>
        <w:t>预算，推进预算编制科学化、准确化。年度预算编制后，加强预算执行管理，根据实际情况，定期做好预算执行分析，掌握预算执行进度，及时找出预算实际执行情况与预算目标之间存在的差异，采取有效措施纠正偏差，提高预算执行的时效性和均衡性，同时为下一次科学、准确地编制部门预算积累经验。</w:t>
      </w:r>
    </w:p>
    <w:p>
      <w:pPr>
        <w:pStyle w:val="4"/>
        <w:rPr>
          <w:highlight w:val="none"/>
        </w:rPr>
      </w:pPr>
      <w:bookmarkStart w:id="65" w:name="_Toc665"/>
      <w:bookmarkStart w:id="66" w:name="_Toc79333457"/>
      <w:bookmarkStart w:id="67" w:name="_Toc26292"/>
      <w:r>
        <w:rPr>
          <w:rFonts w:hint="eastAsia"/>
          <w:highlight w:val="none"/>
        </w:rPr>
        <w:t>六、其他需要说明的问题</w:t>
      </w:r>
      <w:bookmarkEnd w:id="65"/>
      <w:bookmarkEnd w:id="66"/>
      <w:bookmarkEnd w:id="67"/>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4"/>
      </w:pPr>
      <w:bookmarkStart w:id="68" w:name="_Toc75871379"/>
      <w:bookmarkStart w:id="69" w:name="_Toc79333458"/>
      <w:bookmarkStart w:id="70" w:name="_Toc62030119"/>
      <w:bookmarkStart w:id="71" w:name="_Toc61882435"/>
      <w:bookmarkStart w:id="72" w:name="_Toc4856"/>
      <w:r>
        <w:rPr>
          <w:rFonts w:hint="eastAsia"/>
        </w:rPr>
        <w:t>七、附件</w:t>
      </w:r>
      <w:bookmarkEnd w:id="68"/>
      <w:bookmarkEnd w:id="69"/>
      <w:bookmarkEnd w:id="70"/>
      <w:bookmarkEnd w:id="71"/>
      <w:bookmarkEnd w:id="72"/>
    </w:p>
    <w:p>
      <w:pPr>
        <w:ind w:firstLine="640"/>
      </w:pPr>
      <w:r>
        <w:rPr>
          <w:rFonts w:hint="eastAsia"/>
        </w:rPr>
        <w:t>附件一：项目支出绩效自评表</w:t>
      </w:r>
    </w:p>
    <w:p>
      <w:pPr>
        <w:pStyle w:val="3"/>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tbl>
      <w:tblPr>
        <w:tblStyle w:val="14"/>
        <w:tblW w:w="4997" w:type="pct"/>
        <w:tblInd w:w="0" w:type="dxa"/>
        <w:shd w:val="clear" w:color="auto" w:fill="auto"/>
        <w:tblLayout w:type="autofit"/>
        <w:tblCellMar>
          <w:top w:w="0" w:type="dxa"/>
          <w:left w:w="0" w:type="dxa"/>
          <w:bottom w:w="0" w:type="dxa"/>
          <w:right w:w="0" w:type="dxa"/>
        </w:tblCellMar>
      </w:tblPr>
      <w:tblGrid>
        <w:gridCol w:w="1272"/>
        <w:gridCol w:w="1188"/>
        <w:gridCol w:w="1451"/>
        <w:gridCol w:w="1373"/>
        <w:gridCol w:w="1387"/>
        <w:gridCol w:w="1543"/>
        <w:gridCol w:w="1543"/>
        <w:gridCol w:w="1012"/>
        <w:gridCol w:w="1116"/>
        <w:gridCol w:w="487"/>
        <w:gridCol w:w="1608"/>
      </w:tblGrid>
      <w:tr>
        <w:tblPrEx>
          <w:shd w:val="clear" w:color="auto" w:fill="auto"/>
          <w:tblCellMar>
            <w:top w:w="0" w:type="dxa"/>
            <w:left w:w="0" w:type="dxa"/>
            <w:bottom w:w="0" w:type="dxa"/>
            <w:right w:w="0" w:type="dxa"/>
          </w:tblCellMar>
        </w:tblPrEx>
        <w:trPr>
          <w:trHeight w:val="450" w:hRule="atLeast"/>
        </w:trPr>
        <w:tc>
          <w:tcPr>
            <w:tcW w:w="2386" w:type="pct"/>
            <w:gridSpan w:val="5"/>
            <w:tcBorders>
              <w:top w:val="nil"/>
              <w:left w:val="nil"/>
              <w:bottom w:val="nil"/>
              <w:right w:val="nil"/>
            </w:tcBorders>
            <w:shd w:val="clear" w:color="auto" w:fill="auto"/>
            <w:noWrap/>
            <w:tcMar>
              <w:top w:w="15" w:type="dxa"/>
              <w:left w:w="15" w:type="dxa"/>
              <w:right w:w="15" w:type="dxa"/>
            </w:tcMar>
            <w:vAlign w:val="bottom"/>
          </w:tcPr>
          <w:p>
            <w:pPr>
              <w:spacing w:line="240" w:lineRule="auto"/>
              <w:ind w:left="0" w:leftChars="0" w:firstLine="0" w:firstLineChars="0"/>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551"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52"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62"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99"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74"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72"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auto"/>
        </w:tblPrEx>
        <w:trPr>
          <w:trHeight w:val="559" w:hRule="atLeast"/>
        </w:trPr>
        <w:tc>
          <w:tcPr>
            <w:tcW w:w="5000" w:type="pct"/>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80" w:hRule="atLeast"/>
        </w:trPr>
        <w:tc>
          <w:tcPr>
            <w:tcW w:w="5000" w:type="pct"/>
            <w:gridSpan w:val="11"/>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spacing w:line="240" w:lineRule="auto"/>
              <w:ind w:left="0" w:leftChars="0" w:firstLine="0" w:firstLineChars="0"/>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auto"/>
          <w:tblCellMar>
            <w:top w:w="0" w:type="dxa"/>
            <w:left w:w="0" w:type="dxa"/>
            <w:bottom w:w="0" w:type="dxa"/>
            <w:right w:w="0" w:type="dxa"/>
          </w:tblCellMar>
        </w:tblPrEx>
        <w:trPr>
          <w:trHeight w:val="480" w:hRule="atLeast"/>
        </w:trPr>
        <w:tc>
          <w:tcPr>
            <w:tcW w:w="5000" w:type="pct"/>
            <w:gridSpan w:val="11"/>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auto"/>
          <w:tblCellMar>
            <w:top w:w="0" w:type="dxa"/>
            <w:left w:w="0" w:type="dxa"/>
            <w:bottom w:w="0" w:type="dxa"/>
            <w:right w:w="0" w:type="dxa"/>
          </w:tblCellMar>
        </w:tblPrEx>
        <w:trPr>
          <w:trHeight w:val="379"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119"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对台工作专项经费</w:t>
            </w:r>
          </w:p>
        </w:tc>
      </w:tr>
      <w:tr>
        <w:tblPrEx>
          <w:shd w:val="clear" w:color="auto" w:fill="auto"/>
          <w:tblCellMar>
            <w:top w:w="0" w:type="dxa"/>
            <w:left w:w="0" w:type="dxa"/>
            <w:bottom w:w="0" w:type="dxa"/>
            <w:right w:w="0" w:type="dxa"/>
          </w:tblCellMar>
        </w:tblPrEx>
        <w:trPr>
          <w:trHeight w:val="379" w:hRule="atLeast"/>
        </w:trPr>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057"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509"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auto"/>
          <w:tblCellMar>
            <w:top w:w="0" w:type="dxa"/>
            <w:left w:w="0" w:type="dxa"/>
            <w:bottom w:w="0" w:type="dxa"/>
            <w:right w:w="0" w:type="dxa"/>
          </w:tblCellMar>
        </w:tblPrEx>
        <w:trPr>
          <w:trHeight w:val="379" w:hRule="atLeast"/>
        </w:trPr>
        <w:tc>
          <w:tcPr>
            <w:tcW w:w="88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5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379" w:hRule="atLeast"/>
        </w:trPr>
        <w:tc>
          <w:tcPr>
            <w:tcW w:w="8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4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5.65</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5.65</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auto"/>
          <w:tblCellMar>
            <w:top w:w="0" w:type="dxa"/>
            <w:left w:w="0" w:type="dxa"/>
            <w:bottom w:w="0" w:type="dxa"/>
            <w:right w:w="0" w:type="dxa"/>
          </w:tblCellMar>
        </w:tblPrEx>
        <w:trPr>
          <w:trHeight w:val="379" w:hRule="atLeast"/>
        </w:trPr>
        <w:tc>
          <w:tcPr>
            <w:tcW w:w="8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4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5.65</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5.65</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8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4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482"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0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68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482"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目标1：做好台湾同胞新冠疫苗免费接种工作，促使台湾同胞在大陆享受同等待遇。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目标2：以“一节一会”为契机，做好与台企台商联谊招商、台湾名品展销等活动，促进两岸经贸往来。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目标3：参与全市招商引资工作，促进当地经济增长。</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目标4：举办台海局势报告会，使领导干部准确把握台海形势，促进两岸统一。</w:t>
            </w:r>
          </w:p>
        </w:tc>
        <w:tc>
          <w:tcPr>
            <w:tcW w:w="20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因疫情原因，一些工作计划未实施</w:t>
            </w:r>
          </w:p>
        </w:tc>
      </w:tr>
      <w:tr>
        <w:tblPrEx>
          <w:shd w:val="clear" w:color="auto" w:fill="auto"/>
        </w:tblPrEx>
        <w:trPr>
          <w:trHeight w:val="54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指标1：接种覆盖率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指标2：参与招商联谊会次数</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4次</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指标3：参与全市招商引资活动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bookmarkStart w:id="73" w:name="_GoBack"/>
            <w:bookmarkEnd w:id="73"/>
            <w:r>
              <w:rPr>
                <w:rFonts w:hint="eastAsia" w:ascii="宋体" w:hAnsi="宋体" w:eastAsia="宋体" w:cs="宋体"/>
                <w:i w:val="0"/>
                <w:color w:val="000000"/>
                <w:kern w:val="0"/>
                <w:sz w:val="18"/>
                <w:szCs w:val="18"/>
                <w:u w:val="none"/>
                <w:lang w:val="en-US" w:eastAsia="zh-CN" w:bidi="ar"/>
              </w:rPr>
              <w:t>2</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82"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指标4：台海局势报告会</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指标1：接种完成率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指标2：参与招商联谊会完成率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指标3：参与全市招商引资活动完成率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82"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指标4：台海局势报告会到位率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指标1：接种及时性</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指标2：完成招商联谊会时间</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指标3：完成全市招商引资时间</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4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指标4：台海局势报告会时间</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2021年10月-12月</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于2021年10月-12月已完成</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指标1：总项目经费</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≤11万</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5.65万元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5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指标1：促进两岸关系更好的发展</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指标2：促进当地经济发展，提高就业</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指标1：持续保持两岸友好发展</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持续保持</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9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指标1：台湾同胞满意度</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3490"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auto"/>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172A27"/>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66BFE"/>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3C27FB"/>
    <w:rsid w:val="01645940"/>
    <w:rsid w:val="03C660F1"/>
    <w:rsid w:val="03F32411"/>
    <w:rsid w:val="042B4352"/>
    <w:rsid w:val="05C81B18"/>
    <w:rsid w:val="06527907"/>
    <w:rsid w:val="06DD5138"/>
    <w:rsid w:val="07342079"/>
    <w:rsid w:val="09034D82"/>
    <w:rsid w:val="0A05363D"/>
    <w:rsid w:val="0A64404D"/>
    <w:rsid w:val="0B043AE3"/>
    <w:rsid w:val="0C28640C"/>
    <w:rsid w:val="0CBE63A3"/>
    <w:rsid w:val="0D2E03EF"/>
    <w:rsid w:val="0EE02FCE"/>
    <w:rsid w:val="11052CB2"/>
    <w:rsid w:val="11D14067"/>
    <w:rsid w:val="13233FA4"/>
    <w:rsid w:val="14CE5CEA"/>
    <w:rsid w:val="14F24477"/>
    <w:rsid w:val="15093F8D"/>
    <w:rsid w:val="16114C80"/>
    <w:rsid w:val="16723EF1"/>
    <w:rsid w:val="16EB5428"/>
    <w:rsid w:val="17EA10CC"/>
    <w:rsid w:val="18510520"/>
    <w:rsid w:val="19306818"/>
    <w:rsid w:val="19947ECF"/>
    <w:rsid w:val="1A6A1EAD"/>
    <w:rsid w:val="1AB61AEE"/>
    <w:rsid w:val="1AEB2ADF"/>
    <w:rsid w:val="1B002515"/>
    <w:rsid w:val="1B2F1723"/>
    <w:rsid w:val="1B357D5F"/>
    <w:rsid w:val="1BA50EE0"/>
    <w:rsid w:val="1C286F05"/>
    <w:rsid w:val="1CBF4C66"/>
    <w:rsid w:val="1D764BFA"/>
    <w:rsid w:val="21032E75"/>
    <w:rsid w:val="21594FE2"/>
    <w:rsid w:val="22307B79"/>
    <w:rsid w:val="2449572C"/>
    <w:rsid w:val="25D441E2"/>
    <w:rsid w:val="261C61B1"/>
    <w:rsid w:val="2636356A"/>
    <w:rsid w:val="28577A06"/>
    <w:rsid w:val="28740B43"/>
    <w:rsid w:val="28B315F6"/>
    <w:rsid w:val="2A38369F"/>
    <w:rsid w:val="2AE845D1"/>
    <w:rsid w:val="2BF131DE"/>
    <w:rsid w:val="2CFF241A"/>
    <w:rsid w:val="2DCE2518"/>
    <w:rsid w:val="2F3321AD"/>
    <w:rsid w:val="2F7A5704"/>
    <w:rsid w:val="306341F7"/>
    <w:rsid w:val="30FD39D4"/>
    <w:rsid w:val="32C169A1"/>
    <w:rsid w:val="32E542AF"/>
    <w:rsid w:val="33127A32"/>
    <w:rsid w:val="336D68B6"/>
    <w:rsid w:val="340A4177"/>
    <w:rsid w:val="358D1218"/>
    <w:rsid w:val="37360FC5"/>
    <w:rsid w:val="384267C3"/>
    <w:rsid w:val="390B472B"/>
    <w:rsid w:val="39F2109B"/>
    <w:rsid w:val="3B080524"/>
    <w:rsid w:val="3E180DDF"/>
    <w:rsid w:val="3EB50D20"/>
    <w:rsid w:val="40063D93"/>
    <w:rsid w:val="408C5853"/>
    <w:rsid w:val="40F70C1D"/>
    <w:rsid w:val="41AE2CB2"/>
    <w:rsid w:val="41C47028"/>
    <w:rsid w:val="41EA27C1"/>
    <w:rsid w:val="433D5F5B"/>
    <w:rsid w:val="441E6300"/>
    <w:rsid w:val="444A484F"/>
    <w:rsid w:val="4476700E"/>
    <w:rsid w:val="448560E9"/>
    <w:rsid w:val="44BF6C07"/>
    <w:rsid w:val="47372A84"/>
    <w:rsid w:val="4A7D74DC"/>
    <w:rsid w:val="4B95325F"/>
    <w:rsid w:val="4D633894"/>
    <w:rsid w:val="4E992DD9"/>
    <w:rsid w:val="50C37060"/>
    <w:rsid w:val="521340EE"/>
    <w:rsid w:val="529A4E92"/>
    <w:rsid w:val="530928A9"/>
    <w:rsid w:val="533F163E"/>
    <w:rsid w:val="538B6E1B"/>
    <w:rsid w:val="53920D79"/>
    <w:rsid w:val="53D60384"/>
    <w:rsid w:val="54280325"/>
    <w:rsid w:val="543547EF"/>
    <w:rsid w:val="551B1BC8"/>
    <w:rsid w:val="55236D3E"/>
    <w:rsid w:val="5565571D"/>
    <w:rsid w:val="55672219"/>
    <w:rsid w:val="558772CD"/>
    <w:rsid w:val="55F834F4"/>
    <w:rsid w:val="578403BD"/>
    <w:rsid w:val="58613185"/>
    <w:rsid w:val="58670499"/>
    <w:rsid w:val="58D35D3A"/>
    <w:rsid w:val="59067C67"/>
    <w:rsid w:val="598C3104"/>
    <w:rsid w:val="5E126076"/>
    <w:rsid w:val="61F638BE"/>
    <w:rsid w:val="61F859D4"/>
    <w:rsid w:val="62111B97"/>
    <w:rsid w:val="63BF54E2"/>
    <w:rsid w:val="63CE736C"/>
    <w:rsid w:val="65091475"/>
    <w:rsid w:val="65343086"/>
    <w:rsid w:val="65A17FA7"/>
    <w:rsid w:val="65BF660F"/>
    <w:rsid w:val="666D63A3"/>
    <w:rsid w:val="66C73D09"/>
    <w:rsid w:val="679B5533"/>
    <w:rsid w:val="6853569C"/>
    <w:rsid w:val="68944A4B"/>
    <w:rsid w:val="69312D5B"/>
    <w:rsid w:val="69B41E5D"/>
    <w:rsid w:val="6BC41943"/>
    <w:rsid w:val="6C3E641F"/>
    <w:rsid w:val="6C635F46"/>
    <w:rsid w:val="6EB95294"/>
    <w:rsid w:val="70493BA2"/>
    <w:rsid w:val="70FE02B7"/>
    <w:rsid w:val="711F6D8C"/>
    <w:rsid w:val="71CF1988"/>
    <w:rsid w:val="729D2B84"/>
    <w:rsid w:val="72B8241C"/>
    <w:rsid w:val="732C369A"/>
    <w:rsid w:val="74AD3F2D"/>
    <w:rsid w:val="77753743"/>
    <w:rsid w:val="77E01564"/>
    <w:rsid w:val="789E7920"/>
    <w:rsid w:val="7BF344C5"/>
    <w:rsid w:val="7BF34CA6"/>
    <w:rsid w:val="7C892554"/>
    <w:rsid w:val="7E906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4">
    <w:name w:val="heading 1"/>
    <w:basedOn w:val="1"/>
    <w:next w:val="1"/>
    <w:link w:val="17"/>
    <w:qFormat/>
    <w:uiPriority w:val="9"/>
    <w:pPr>
      <w:keepNext/>
      <w:keepLines/>
      <w:ind w:firstLine="0" w:firstLineChars="0"/>
      <w:jc w:val="left"/>
      <w:outlineLvl w:val="0"/>
    </w:pPr>
    <w:rPr>
      <w:rFonts w:ascii="黑体" w:hAnsi="黑体" w:eastAsia="黑体"/>
      <w:b/>
      <w:bCs/>
      <w:kern w:val="44"/>
    </w:rPr>
  </w:style>
  <w:style w:type="paragraph" w:styleId="5">
    <w:name w:val="heading 2"/>
    <w:basedOn w:val="1"/>
    <w:next w:val="6"/>
    <w:link w:val="19"/>
    <w:unhideWhenUsed/>
    <w:qFormat/>
    <w:uiPriority w:val="9"/>
    <w:pPr>
      <w:keepNext/>
      <w:keepLines/>
      <w:ind w:firstLine="0" w:firstLineChars="0"/>
      <w:jc w:val="left"/>
      <w:outlineLvl w:val="1"/>
    </w:pPr>
    <w:rPr>
      <w:rFonts w:ascii="楷体" w:hAnsi="楷体" w:eastAsia="楷体" w:cstheme="majorBidi"/>
      <w:b/>
      <w:bCs/>
    </w:rPr>
  </w:style>
  <w:style w:type="paragraph" w:styleId="6">
    <w:name w:val="heading 3"/>
    <w:basedOn w:val="1"/>
    <w:next w:val="1"/>
    <w:link w:val="22"/>
    <w:unhideWhenUsed/>
    <w:qFormat/>
    <w:uiPriority w:val="9"/>
    <w:pPr>
      <w:keepNext/>
      <w:keepLines/>
      <w:ind w:firstLine="200"/>
      <w:jc w:val="left"/>
      <w:outlineLvl w:val="2"/>
    </w:pPr>
    <w:rPr>
      <w:rFonts w:ascii="宋体" w:hAnsi="宋体"/>
      <w:b/>
      <w:bCs/>
    </w:rPr>
  </w:style>
  <w:style w:type="paragraph" w:styleId="7">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qFormat/>
    <w:uiPriority w:val="0"/>
    <w:pPr>
      <w:ind w:left="0" w:firstLine="638"/>
    </w:pPr>
    <w:rPr>
      <w:rFonts w:ascii="宋体" w:hAnsi="宋体" w:eastAsia="仿宋"/>
    </w:rPr>
  </w:style>
  <w:style w:type="paragraph" w:styleId="8">
    <w:name w:val="annotation text"/>
    <w:basedOn w:val="1"/>
    <w:qFormat/>
    <w:uiPriority w:val="0"/>
    <w:pPr>
      <w:jc w:val="left"/>
    </w:pPr>
  </w:style>
  <w:style w:type="paragraph" w:styleId="9">
    <w:name w:val="toc 3"/>
    <w:basedOn w:val="1"/>
    <w:next w:val="1"/>
    <w:unhideWhenUsed/>
    <w:qFormat/>
    <w:uiPriority w:val="39"/>
    <w:pPr>
      <w:ind w:left="840" w:leftChars="400"/>
    </w:pPr>
  </w:style>
  <w:style w:type="paragraph" w:styleId="10">
    <w:name w:val="footer"/>
    <w:basedOn w:val="1"/>
    <w:link w:val="21"/>
    <w:unhideWhenUsed/>
    <w:qFormat/>
    <w:uiPriority w:val="99"/>
    <w:pPr>
      <w:tabs>
        <w:tab w:val="center" w:pos="4153"/>
        <w:tab w:val="right" w:pos="8306"/>
      </w:tabs>
      <w:spacing w:line="240" w:lineRule="auto"/>
      <w:ind w:firstLine="0" w:firstLineChars="0"/>
      <w:jc w:val="left"/>
    </w:pPr>
    <w:rPr>
      <w:sz w:val="28"/>
      <w:szCs w:val="2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toc 1"/>
    <w:basedOn w:val="1"/>
    <w:next w:val="1"/>
    <w:unhideWhenUsed/>
    <w:qFormat/>
    <w:uiPriority w:val="39"/>
    <w:pPr>
      <w:tabs>
        <w:tab w:val="right" w:leader="dot" w:pos="8296"/>
      </w:tabs>
      <w:ind w:firstLine="0" w:firstLineChars="0"/>
      <w:jc w:val="center"/>
    </w:pPr>
    <w:rPr>
      <w:b/>
    </w:rPr>
  </w:style>
  <w:style w:type="paragraph" w:styleId="13">
    <w:name w:val="toc 2"/>
    <w:basedOn w:val="1"/>
    <w:next w:val="1"/>
    <w:unhideWhenUsed/>
    <w:qFormat/>
    <w:uiPriority w:val="39"/>
    <w:pPr>
      <w:ind w:left="420" w:leftChars="200" w:firstLine="0" w:firstLineChars="0"/>
    </w:p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4"/>
    <w:qFormat/>
    <w:uiPriority w:val="9"/>
    <w:rPr>
      <w:rFonts w:ascii="黑体" w:hAnsi="黑体" w:eastAsia="黑体"/>
      <w:b/>
      <w:bCs/>
      <w:kern w:val="44"/>
      <w:sz w:val="32"/>
      <w:szCs w:val="32"/>
    </w:rPr>
  </w:style>
  <w:style w:type="paragraph" w:customStyle="1" w:styleId="18">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19">
    <w:name w:val="标题 2 字符"/>
    <w:basedOn w:val="16"/>
    <w:link w:val="5"/>
    <w:qFormat/>
    <w:uiPriority w:val="9"/>
    <w:rPr>
      <w:rFonts w:ascii="楷体" w:hAnsi="楷体" w:eastAsia="楷体" w:cstheme="majorBidi"/>
      <w:b/>
      <w:bCs/>
      <w:kern w:val="2"/>
      <w:sz w:val="32"/>
      <w:szCs w:val="32"/>
    </w:rPr>
  </w:style>
  <w:style w:type="paragraph" w:customStyle="1" w:styleId="20">
    <w:name w:val="表头"/>
    <w:basedOn w:val="1"/>
    <w:next w:val="1"/>
    <w:qFormat/>
    <w:uiPriority w:val="0"/>
    <w:pPr>
      <w:spacing w:before="100" w:after="100"/>
      <w:jc w:val="center"/>
    </w:pPr>
    <w:rPr>
      <w:rFonts w:ascii="Times New Roman" w:hAnsi="Times New Roman"/>
      <w:b/>
      <w:bCs/>
      <w:szCs w:val="28"/>
    </w:rPr>
  </w:style>
  <w:style w:type="character" w:customStyle="1" w:styleId="21">
    <w:name w:val="页脚 字符"/>
    <w:basedOn w:val="16"/>
    <w:link w:val="10"/>
    <w:qFormat/>
    <w:uiPriority w:val="99"/>
    <w:rPr>
      <w:rFonts w:eastAsia="仿宋"/>
      <w:sz w:val="28"/>
      <w:szCs w:val="28"/>
    </w:rPr>
  </w:style>
  <w:style w:type="character" w:customStyle="1" w:styleId="22">
    <w:name w:val="标题 3 字符"/>
    <w:basedOn w:val="16"/>
    <w:link w:val="6"/>
    <w:qFormat/>
    <w:uiPriority w:val="9"/>
    <w:rPr>
      <w:rFonts w:ascii="宋体" w:hAnsi="宋体" w:eastAsia="仿宋"/>
      <w:b/>
      <w:bCs/>
      <w:kern w:val="2"/>
      <w:sz w:val="32"/>
      <w:szCs w:val="32"/>
    </w:rPr>
  </w:style>
  <w:style w:type="character" w:customStyle="1" w:styleId="23">
    <w:name w:val="标题 4 字符"/>
    <w:basedOn w:val="16"/>
    <w:link w:val="7"/>
    <w:semiHidden/>
    <w:qFormat/>
    <w:uiPriority w:val="9"/>
    <w:rPr>
      <w:rFonts w:asciiTheme="majorHAnsi" w:hAnsiTheme="majorHAnsi" w:eastAsiaTheme="majorEastAsia" w:cstheme="majorBidi"/>
      <w:b/>
      <w:bCs/>
      <w:kern w:val="2"/>
      <w:sz w:val="28"/>
      <w:szCs w:val="28"/>
    </w:rPr>
  </w:style>
  <w:style w:type="paragraph" w:customStyle="1" w:styleId="24">
    <w:name w:val="本模板"/>
    <w:basedOn w:val="1"/>
    <w:next w:val="1"/>
    <w:qFormat/>
    <w:uiPriority w:val="0"/>
    <w:pPr>
      <w:ind w:firstLine="0" w:firstLineChars="0"/>
      <w:jc w:val="center"/>
    </w:pPr>
  </w:style>
  <w:style w:type="paragraph" w:customStyle="1" w:styleId="25">
    <w:name w:val="由"/>
    <w:basedOn w:val="1"/>
    <w:qFormat/>
    <w:uiPriority w:val="0"/>
    <w:pPr>
      <w:ind w:firstLine="0" w:firstLineChars="0"/>
      <w:jc w:val="center"/>
    </w:pPr>
  </w:style>
  <w:style w:type="paragraph" w:customStyle="1" w:styleId="26">
    <w:name w:val="昭元绩效"/>
    <w:basedOn w:val="1"/>
    <w:qFormat/>
    <w:uiPriority w:val="0"/>
    <w:pPr>
      <w:spacing w:line="360" w:lineRule="auto"/>
      <w:ind w:firstLine="0" w:firstLineChars="0"/>
      <w:jc w:val="center"/>
    </w:pPr>
    <w:rPr>
      <w:rFonts w:eastAsia="宋体"/>
      <w:b/>
      <w:bCs/>
      <w:sz w:val="44"/>
      <w:szCs w:val="44"/>
    </w:rPr>
  </w:style>
  <w:style w:type="paragraph" w:customStyle="1" w:styleId="27">
    <w:name w:val="提供"/>
    <w:basedOn w:val="1"/>
    <w:qFormat/>
    <w:uiPriority w:val="0"/>
    <w:pPr>
      <w:ind w:firstLine="0" w:firstLineChars="0"/>
      <w:jc w:val="center"/>
    </w:pPr>
  </w:style>
  <w:style w:type="paragraph" w:customStyle="1" w:styleId="28">
    <w:name w:val="版权所有"/>
    <w:basedOn w:val="1"/>
    <w:qFormat/>
    <w:uiPriority w:val="0"/>
    <w:pPr>
      <w:ind w:firstLine="0" w:firstLineChars="0"/>
      <w:jc w:val="center"/>
    </w:pPr>
  </w:style>
  <w:style w:type="paragraph" w:customStyle="1" w:styleId="29">
    <w:name w:val="电话15515993457"/>
    <w:basedOn w:val="1"/>
    <w:qFormat/>
    <w:uiPriority w:val="0"/>
    <w:pPr>
      <w:ind w:firstLine="0" w:firstLineChars="0"/>
      <w:jc w:val="center"/>
    </w:pPr>
  </w:style>
  <w:style w:type="character" w:customStyle="1" w:styleId="30">
    <w:name w:val="font71"/>
    <w:basedOn w:val="16"/>
    <w:qFormat/>
    <w:uiPriority w:val="0"/>
    <w:rPr>
      <w:rFonts w:hint="eastAsia" w:ascii="宋体" w:hAnsi="宋体" w:eastAsia="宋体" w:cs="宋体"/>
      <w:color w:val="000000"/>
      <w:sz w:val="18"/>
      <w:szCs w:val="18"/>
      <w:u w:val="none"/>
    </w:rPr>
  </w:style>
  <w:style w:type="character" w:customStyle="1" w:styleId="31">
    <w:name w:val="font81"/>
    <w:basedOn w:val="1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15</Pages>
  <Words>6254</Words>
  <Characters>6593</Characters>
  <Lines>42</Lines>
  <Paragraphs>11</Paragraphs>
  <TotalTime>7</TotalTime>
  <ScaleCrop>false</ScaleCrop>
  <LinksUpToDate>false</LinksUpToDate>
  <CharactersWithSpaces>6650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2022-06-07T03:27:37Z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