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黑体" w:hAnsi="黑体" w:eastAsia="黑体" w:cs="黑体"/>
          <w:sz w:val="44"/>
          <w:szCs w:val="44"/>
          <w:lang w:eastAsia="zh-CN"/>
        </w:rPr>
      </w:pPr>
    </w:p>
    <w:p>
      <w:pPr>
        <w:pStyle w:val="20"/>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黑体" w:hAnsi="黑体" w:eastAsia="黑体" w:cs="黑体"/>
          <w:sz w:val="44"/>
          <w:szCs w:val="44"/>
          <w:highlight w:val="none"/>
          <w:lang w:eastAsia="zh-CN"/>
        </w:rPr>
      </w:pPr>
      <w:r>
        <w:rPr>
          <w:rFonts w:hint="eastAsia" w:ascii="黑体" w:hAnsi="黑体" w:eastAsia="黑体" w:cs="黑体"/>
          <w:sz w:val="44"/>
          <w:szCs w:val="44"/>
          <w:highlight w:val="none"/>
          <w:lang w:eastAsia="zh-CN"/>
        </w:rPr>
        <w:t>中共三门峡市委统一战线工作部</w:t>
      </w:r>
    </w:p>
    <w:p>
      <w:pPr>
        <w:pStyle w:val="20"/>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黑体" w:hAnsi="黑体" w:eastAsia="黑体" w:cs="黑体"/>
          <w:sz w:val="44"/>
          <w:szCs w:val="44"/>
        </w:rPr>
      </w:pPr>
      <w:r>
        <w:rPr>
          <w:rFonts w:hint="eastAsia" w:ascii="黑体" w:hAnsi="黑体" w:eastAsia="黑体" w:cs="黑体"/>
          <w:sz w:val="44"/>
          <w:szCs w:val="44"/>
          <w:highlight w:val="none"/>
          <w:lang w:eastAsia="zh-CN"/>
        </w:rPr>
        <w:t>2021</w:t>
      </w:r>
      <w:r>
        <w:rPr>
          <w:rFonts w:hint="eastAsia" w:ascii="黑体" w:hAnsi="黑体" w:eastAsia="黑体" w:cs="黑体"/>
          <w:sz w:val="44"/>
          <w:szCs w:val="44"/>
          <w:highlight w:val="none"/>
        </w:rPr>
        <w:t>年度</w:t>
      </w:r>
      <w:r>
        <w:rPr>
          <w:rFonts w:hint="eastAsia" w:ascii="黑体" w:hAnsi="黑体" w:eastAsia="黑体" w:cs="黑体"/>
          <w:sz w:val="44"/>
          <w:szCs w:val="44"/>
        </w:rPr>
        <w:t>部门整体支出自评报告</w:t>
      </w:r>
    </w:p>
    <w:p>
      <w:pPr>
        <w:pStyle w:val="20"/>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黑体" w:hAnsi="黑体" w:eastAsia="黑体" w:cs="黑体"/>
          <w:sz w:val="44"/>
          <w:szCs w:val="44"/>
        </w:rPr>
      </w:pPr>
    </w:p>
    <w:p>
      <w:pPr>
        <w:pStyle w:val="20"/>
        <w:bidi w:val="0"/>
      </w:pPr>
    </w:p>
    <w:p>
      <w:pPr>
        <w:pStyle w:val="20"/>
        <w:bidi w:val="0"/>
      </w:pPr>
    </w:p>
    <w:p>
      <w:pPr>
        <w:pStyle w:val="20"/>
        <w:bidi w:val="0"/>
      </w:pPr>
    </w:p>
    <w:p>
      <w:pPr>
        <w:pStyle w:val="20"/>
        <w:bidi w:val="0"/>
      </w:pPr>
    </w:p>
    <w:p>
      <w:pPr>
        <w:pStyle w:val="20"/>
        <w:bidi w:val="0"/>
      </w:pPr>
    </w:p>
    <w:p>
      <w:pPr>
        <w:pStyle w:val="20"/>
        <w:bidi w:val="0"/>
      </w:pPr>
    </w:p>
    <w:p>
      <w:pPr>
        <w:pStyle w:val="20"/>
        <w:bidi w:val="0"/>
      </w:pPr>
    </w:p>
    <w:p>
      <w:pPr>
        <w:pStyle w:val="20"/>
        <w:bidi w:val="0"/>
      </w:pPr>
    </w:p>
    <w:p>
      <w:pPr>
        <w:pStyle w:val="20"/>
        <w:bidi w:val="0"/>
      </w:pPr>
    </w:p>
    <w:p>
      <w:pPr>
        <w:pStyle w:val="20"/>
        <w:bidi w:val="0"/>
      </w:pPr>
    </w:p>
    <w:p>
      <w:pPr>
        <w:pStyle w:val="20"/>
        <w:bidi w:val="0"/>
      </w:pPr>
    </w:p>
    <w:p>
      <w:pPr>
        <w:pStyle w:val="20"/>
        <w:bidi w:val="0"/>
      </w:pPr>
    </w:p>
    <w:p>
      <w:pPr>
        <w:pStyle w:val="20"/>
        <w:bidi w:val="0"/>
        <w:ind w:left="0" w:leftChars="0" w:right="0" w:rightChars="0" w:firstLine="0" w:firstLineChars="0"/>
        <w:jc w:val="center"/>
        <w:rPr>
          <w:rFonts w:hint="eastAsia" w:ascii="黑体" w:hAnsi="黑体" w:eastAsia="黑体" w:cs="黑体"/>
          <w:highlight w:val="yellow"/>
          <w:lang w:eastAsia="zh-CN"/>
        </w:rPr>
      </w:pPr>
      <w:r>
        <w:rPr>
          <w:rFonts w:hint="eastAsia" w:ascii="黑体" w:hAnsi="黑体" w:eastAsia="黑体" w:cs="黑体"/>
          <w:highlight w:val="none"/>
        </w:rPr>
        <w:t>自评单位：</w:t>
      </w:r>
      <w:r>
        <w:rPr>
          <w:rFonts w:hint="eastAsia" w:ascii="黑体" w:hAnsi="黑体" w:eastAsia="黑体" w:cs="黑体"/>
          <w:highlight w:val="none"/>
          <w:lang w:eastAsia="zh-CN"/>
        </w:rPr>
        <w:t>中共三门峡市委统一战线工作部</w:t>
      </w:r>
    </w:p>
    <w:p>
      <w:pPr>
        <w:pStyle w:val="20"/>
        <w:bidi w:val="0"/>
        <w:ind w:left="0" w:leftChars="0" w:right="0" w:rightChars="0" w:firstLine="0" w:firstLineChars="0"/>
        <w:jc w:val="center"/>
        <w:rPr>
          <w:rFonts w:hint="eastAsia" w:ascii="黑体" w:hAnsi="黑体" w:eastAsia="黑体" w:cs="黑体"/>
          <w:highlight w:val="yellow"/>
          <w:lang w:val="en-US" w:eastAsia="zh-CN"/>
        </w:rPr>
      </w:pPr>
      <w:r>
        <w:rPr>
          <w:rFonts w:hint="eastAsia" w:ascii="黑体" w:hAnsi="黑体" w:eastAsia="黑体" w:cs="黑体"/>
          <w:highlight w:val="none"/>
        </w:rPr>
        <w:t>日    期：</w:t>
      </w:r>
      <w:r>
        <w:rPr>
          <w:rFonts w:hint="eastAsia" w:ascii="黑体" w:hAnsi="黑体" w:eastAsia="黑体" w:cs="黑体"/>
          <w:highlight w:val="none"/>
          <w:lang w:eastAsia="zh-CN"/>
        </w:rPr>
        <w:t>202</w:t>
      </w:r>
      <w:r>
        <w:rPr>
          <w:rFonts w:hint="eastAsia" w:ascii="黑体" w:hAnsi="黑体" w:eastAsia="黑体" w:cs="黑体"/>
          <w:highlight w:val="none"/>
          <w:lang w:val="en-US" w:eastAsia="zh-CN"/>
        </w:rPr>
        <w:t>2</w:t>
      </w:r>
      <w:r>
        <w:rPr>
          <w:rFonts w:hint="eastAsia" w:ascii="黑体" w:hAnsi="黑体" w:eastAsia="黑体" w:cs="黑体"/>
          <w:highlight w:val="none"/>
        </w:rPr>
        <w:t>年</w:t>
      </w:r>
      <w:r>
        <w:rPr>
          <w:rFonts w:hint="eastAsia" w:ascii="黑体" w:hAnsi="黑体" w:eastAsia="黑体" w:cs="黑体"/>
          <w:highlight w:val="none"/>
          <w:lang w:val="en-US" w:eastAsia="zh-CN"/>
        </w:rPr>
        <w:t>5</w:t>
      </w:r>
      <w:r>
        <w:rPr>
          <w:rFonts w:hint="eastAsia" w:ascii="黑体" w:hAnsi="黑体" w:eastAsia="黑体" w:cs="黑体"/>
          <w:highlight w:val="none"/>
        </w:rPr>
        <w:t>月</w:t>
      </w:r>
      <w:r>
        <w:rPr>
          <w:rFonts w:hint="eastAsia" w:ascii="黑体" w:hAnsi="黑体" w:eastAsia="黑体" w:cs="黑体"/>
          <w:highlight w:val="none"/>
          <w:lang w:val="en-US" w:eastAsia="zh-CN"/>
        </w:rPr>
        <w:t>6日</w:t>
      </w:r>
      <w:bookmarkStart w:id="44" w:name="_GoBack"/>
      <w:bookmarkEnd w:id="44"/>
    </w:p>
    <w:p>
      <w:pPr>
        <w:pStyle w:val="20"/>
        <w:bidi w:val="0"/>
        <w:rPr>
          <w:rFonts w:hint="eastAsia"/>
        </w:rPr>
      </w:pPr>
    </w:p>
    <w:p>
      <w:pPr>
        <w:pStyle w:val="20"/>
        <w:bidi w:val="0"/>
        <w:rPr>
          <w:rFonts w:hint="eastAsia"/>
        </w:rPr>
        <w:sectPr>
          <w:pgSz w:w="11906" w:h="16838"/>
          <w:pgMar w:top="1440" w:right="1800" w:bottom="1440" w:left="1800" w:header="851" w:footer="737" w:gutter="0"/>
          <w:pgBorders>
            <w:top w:val="none" w:sz="0" w:space="0"/>
            <w:left w:val="none" w:sz="0" w:space="0"/>
            <w:bottom w:val="none" w:sz="0" w:space="0"/>
            <w:right w:val="none" w:sz="0" w:space="0"/>
          </w:pgBorders>
          <w:pgNumType w:fmt="upperRoman" w:start="1"/>
          <w:cols w:space="0" w:num="1"/>
          <w:rtlGutter w:val="0"/>
          <w:docGrid w:linePitch="312" w:charSpace="0"/>
        </w:sectPr>
      </w:pPr>
    </w:p>
    <w:p>
      <w:pPr>
        <w:pStyle w:val="20"/>
        <w:bidi w:val="0"/>
        <w:ind w:left="0" w:leftChars="0" w:right="0" w:rightChars="0" w:firstLine="0" w:firstLineChars="0"/>
        <w:jc w:val="center"/>
        <w:rPr>
          <w:rFonts w:hint="eastAsia"/>
          <w:b/>
          <w:bCs/>
          <w:sz w:val="36"/>
          <w:szCs w:val="36"/>
        </w:rPr>
      </w:pPr>
      <w:bookmarkStart w:id="0" w:name="_Toc27722"/>
      <w:r>
        <w:rPr>
          <w:rFonts w:hint="eastAsia"/>
          <w:b/>
          <w:bCs/>
          <w:sz w:val="36"/>
          <w:szCs w:val="36"/>
        </w:rPr>
        <w:t>目  录</w:t>
      </w:r>
    </w:p>
    <w:p>
      <w:pPr>
        <w:pStyle w:val="10"/>
        <w:tabs>
          <w:tab w:val="right" w:leader="dot" w:pos="8306"/>
        </w:tabs>
      </w:pPr>
      <w:r>
        <w:rPr>
          <w:rFonts w:hint="eastAsia"/>
        </w:rPr>
        <w:fldChar w:fldCharType="begin"/>
      </w:r>
      <w:r>
        <w:rPr>
          <w:rFonts w:hint="eastAsia"/>
        </w:rPr>
        <w:instrText xml:space="preserve">TOC \o "1-2" \h \u </w:instrText>
      </w:r>
      <w:r>
        <w:rPr>
          <w:rFonts w:hint="eastAsia"/>
        </w:rPr>
        <w:fldChar w:fldCharType="separate"/>
      </w:r>
      <w:r>
        <w:rPr>
          <w:rFonts w:hint="eastAsia"/>
        </w:rPr>
        <w:fldChar w:fldCharType="begin"/>
      </w:r>
      <w:r>
        <w:rPr>
          <w:rFonts w:hint="eastAsia"/>
        </w:rPr>
        <w:instrText xml:space="preserve"> HYPERLINK \l _Toc9093 </w:instrText>
      </w:r>
      <w:r>
        <w:rPr>
          <w:rFonts w:hint="eastAsia"/>
        </w:rPr>
        <w:fldChar w:fldCharType="separate"/>
      </w:r>
      <w:r>
        <w:rPr>
          <w:rFonts w:hint="eastAsia"/>
          <w:lang w:val="en-US" w:eastAsia="zh-CN"/>
        </w:rPr>
        <w:t>一、</w:t>
      </w:r>
      <w:r>
        <w:rPr>
          <w:rFonts w:hint="eastAsia"/>
        </w:rPr>
        <w:t>基本情况</w:t>
      </w:r>
      <w:r>
        <w:tab/>
      </w:r>
      <w:r>
        <w:fldChar w:fldCharType="begin"/>
      </w:r>
      <w:r>
        <w:instrText xml:space="preserve"> PAGEREF _Toc9093 \h </w:instrText>
      </w:r>
      <w:r>
        <w:fldChar w:fldCharType="separate"/>
      </w:r>
      <w:r>
        <w:t>1</w:t>
      </w:r>
      <w:r>
        <w:fldChar w:fldCharType="end"/>
      </w:r>
      <w:r>
        <w:rPr>
          <w:rFonts w:hint="eastAsia"/>
        </w:rPr>
        <w:fldChar w:fldCharType="end"/>
      </w:r>
    </w:p>
    <w:p>
      <w:pPr>
        <w:pStyle w:val="11"/>
        <w:tabs>
          <w:tab w:val="right" w:leader="dot" w:pos="8306"/>
        </w:tabs>
      </w:pPr>
      <w:r>
        <w:rPr>
          <w:rFonts w:hint="eastAsia"/>
        </w:rPr>
        <w:fldChar w:fldCharType="begin"/>
      </w:r>
      <w:r>
        <w:rPr>
          <w:rFonts w:hint="eastAsia"/>
        </w:rPr>
        <w:instrText xml:space="preserve"> HYPERLINK \l _Toc14833 </w:instrText>
      </w:r>
      <w:r>
        <w:rPr>
          <w:rFonts w:hint="eastAsia"/>
        </w:rPr>
        <w:fldChar w:fldCharType="separate"/>
      </w:r>
      <w:r>
        <w:rPr>
          <w:rFonts w:hint="eastAsia"/>
        </w:rPr>
        <w:t>（</w:t>
      </w:r>
      <w:r>
        <w:rPr>
          <w:rFonts w:hint="eastAsia"/>
          <w:lang w:val="en-US" w:eastAsia="zh-CN"/>
        </w:rPr>
        <w:t>一</w:t>
      </w:r>
      <w:r>
        <w:rPr>
          <w:rFonts w:hint="eastAsia"/>
        </w:rPr>
        <w:t>）</w:t>
      </w:r>
      <w:r>
        <w:t>年度部门总目标及主要任务</w:t>
      </w:r>
      <w:r>
        <w:tab/>
      </w:r>
      <w:r>
        <w:fldChar w:fldCharType="begin"/>
      </w:r>
      <w:r>
        <w:instrText xml:space="preserve"> PAGEREF _Toc14833 \h </w:instrText>
      </w:r>
      <w:r>
        <w:fldChar w:fldCharType="separate"/>
      </w:r>
      <w:r>
        <w:t>1</w:t>
      </w:r>
      <w:r>
        <w:fldChar w:fldCharType="end"/>
      </w:r>
      <w:r>
        <w:rPr>
          <w:rFonts w:hint="eastAsia"/>
        </w:rPr>
        <w:fldChar w:fldCharType="end"/>
      </w:r>
    </w:p>
    <w:p>
      <w:pPr>
        <w:pStyle w:val="10"/>
        <w:tabs>
          <w:tab w:val="right" w:leader="dot" w:pos="8306"/>
        </w:tabs>
      </w:pPr>
      <w:r>
        <w:rPr>
          <w:rFonts w:hint="eastAsia"/>
        </w:rPr>
        <w:fldChar w:fldCharType="begin"/>
      </w:r>
      <w:r>
        <w:rPr>
          <w:rFonts w:hint="eastAsia"/>
        </w:rPr>
        <w:instrText xml:space="preserve"> HYPERLINK \l _Toc6869 </w:instrText>
      </w:r>
      <w:r>
        <w:rPr>
          <w:rFonts w:hint="eastAsia"/>
        </w:rPr>
        <w:fldChar w:fldCharType="separate"/>
      </w:r>
      <w:r>
        <w:rPr>
          <w:rFonts w:hint="eastAsia"/>
        </w:rPr>
        <w:t>二</w:t>
      </w:r>
      <w:r>
        <w:t>、绩效自评工作开展情况</w:t>
      </w:r>
      <w:r>
        <w:tab/>
      </w:r>
      <w:r>
        <w:fldChar w:fldCharType="begin"/>
      </w:r>
      <w:r>
        <w:instrText xml:space="preserve"> PAGEREF _Toc6869 \h </w:instrText>
      </w:r>
      <w:r>
        <w:fldChar w:fldCharType="separate"/>
      </w:r>
      <w:r>
        <w:t>3</w:t>
      </w:r>
      <w:r>
        <w:fldChar w:fldCharType="end"/>
      </w:r>
      <w:r>
        <w:rPr>
          <w:rFonts w:hint="eastAsia"/>
        </w:rPr>
        <w:fldChar w:fldCharType="end"/>
      </w:r>
    </w:p>
    <w:p>
      <w:pPr>
        <w:pStyle w:val="11"/>
        <w:tabs>
          <w:tab w:val="right" w:leader="dot" w:pos="8306"/>
        </w:tabs>
      </w:pPr>
      <w:r>
        <w:rPr>
          <w:rFonts w:hint="eastAsia"/>
        </w:rPr>
        <w:fldChar w:fldCharType="begin"/>
      </w:r>
      <w:r>
        <w:rPr>
          <w:rFonts w:hint="eastAsia"/>
        </w:rPr>
        <w:instrText xml:space="preserve"> HYPERLINK \l _Toc6496 </w:instrText>
      </w:r>
      <w:r>
        <w:rPr>
          <w:rFonts w:hint="eastAsia"/>
        </w:rPr>
        <w:fldChar w:fldCharType="separate"/>
      </w:r>
      <w:r>
        <w:rPr>
          <w:rFonts w:hint="eastAsia"/>
          <w:lang w:val="en-US" w:eastAsia="zh-CN"/>
        </w:rPr>
        <w:t>（一）评价方法</w:t>
      </w:r>
      <w:r>
        <w:tab/>
      </w:r>
      <w:r>
        <w:fldChar w:fldCharType="begin"/>
      </w:r>
      <w:r>
        <w:instrText xml:space="preserve"> PAGEREF _Toc6496 \h </w:instrText>
      </w:r>
      <w:r>
        <w:fldChar w:fldCharType="separate"/>
      </w:r>
      <w:r>
        <w:t>3</w:t>
      </w:r>
      <w:r>
        <w:fldChar w:fldCharType="end"/>
      </w:r>
      <w:r>
        <w:rPr>
          <w:rFonts w:hint="eastAsia"/>
        </w:rPr>
        <w:fldChar w:fldCharType="end"/>
      </w:r>
    </w:p>
    <w:p>
      <w:pPr>
        <w:pStyle w:val="11"/>
        <w:tabs>
          <w:tab w:val="right" w:leader="dot" w:pos="8306"/>
        </w:tabs>
      </w:pPr>
      <w:r>
        <w:rPr>
          <w:rFonts w:hint="eastAsia"/>
        </w:rPr>
        <w:fldChar w:fldCharType="begin"/>
      </w:r>
      <w:r>
        <w:rPr>
          <w:rFonts w:hint="eastAsia"/>
        </w:rPr>
        <w:instrText xml:space="preserve"> HYPERLINK \l _Toc20740 </w:instrText>
      </w:r>
      <w:r>
        <w:rPr>
          <w:rFonts w:hint="eastAsia"/>
        </w:rPr>
        <w:fldChar w:fldCharType="separate"/>
      </w:r>
      <w:r>
        <w:rPr>
          <w:rFonts w:hint="eastAsia"/>
          <w:lang w:val="en-US" w:eastAsia="zh-CN"/>
        </w:rPr>
        <w:t>（二）工作程序</w:t>
      </w:r>
      <w:r>
        <w:tab/>
      </w:r>
      <w:r>
        <w:fldChar w:fldCharType="begin"/>
      </w:r>
      <w:r>
        <w:instrText xml:space="preserve"> PAGEREF _Toc20740 \h </w:instrText>
      </w:r>
      <w:r>
        <w:fldChar w:fldCharType="separate"/>
      </w:r>
      <w:r>
        <w:t>4</w:t>
      </w:r>
      <w:r>
        <w:fldChar w:fldCharType="end"/>
      </w:r>
      <w:r>
        <w:rPr>
          <w:rFonts w:hint="eastAsia"/>
        </w:rPr>
        <w:fldChar w:fldCharType="end"/>
      </w:r>
    </w:p>
    <w:p>
      <w:pPr>
        <w:pStyle w:val="10"/>
        <w:tabs>
          <w:tab w:val="right" w:leader="dot" w:pos="8306"/>
        </w:tabs>
      </w:pPr>
      <w:r>
        <w:rPr>
          <w:rFonts w:hint="eastAsia"/>
        </w:rPr>
        <w:fldChar w:fldCharType="begin"/>
      </w:r>
      <w:r>
        <w:rPr>
          <w:rFonts w:hint="eastAsia"/>
        </w:rPr>
        <w:instrText xml:space="preserve"> HYPERLINK \l _Toc2938 </w:instrText>
      </w:r>
      <w:r>
        <w:rPr>
          <w:rFonts w:hint="eastAsia"/>
        </w:rPr>
        <w:fldChar w:fldCharType="separate"/>
      </w:r>
      <w:r>
        <w:rPr>
          <w:rFonts w:hint="eastAsia"/>
        </w:rPr>
        <w:t>三</w:t>
      </w:r>
      <w:r>
        <w:t>、综合评价结论</w:t>
      </w:r>
      <w:r>
        <w:tab/>
      </w:r>
      <w:r>
        <w:fldChar w:fldCharType="begin"/>
      </w:r>
      <w:r>
        <w:instrText xml:space="preserve"> PAGEREF _Toc2938 \h </w:instrText>
      </w:r>
      <w:r>
        <w:fldChar w:fldCharType="separate"/>
      </w:r>
      <w:r>
        <w:t>4</w:t>
      </w:r>
      <w:r>
        <w:fldChar w:fldCharType="end"/>
      </w:r>
      <w:r>
        <w:rPr>
          <w:rFonts w:hint="eastAsia"/>
        </w:rPr>
        <w:fldChar w:fldCharType="end"/>
      </w:r>
    </w:p>
    <w:p>
      <w:pPr>
        <w:pStyle w:val="10"/>
        <w:tabs>
          <w:tab w:val="right" w:leader="dot" w:pos="8306"/>
        </w:tabs>
      </w:pPr>
      <w:r>
        <w:rPr>
          <w:rFonts w:hint="eastAsia"/>
        </w:rPr>
        <w:fldChar w:fldCharType="begin"/>
      </w:r>
      <w:r>
        <w:rPr>
          <w:rFonts w:hint="eastAsia"/>
        </w:rPr>
        <w:instrText xml:space="preserve"> HYPERLINK \l _Toc1639 </w:instrText>
      </w:r>
      <w:r>
        <w:rPr>
          <w:rFonts w:hint="eastAsia"/>
        </w:rPr>
        <w:fldChar w:fldCharType="separate"/>
      </w:r>
      <w:r>
        <w:rPr>
          <w:rFonts w:hint="eastAsia"/>
        </w:rPr>
        <w:t>四、</w:t>
      </w:r>
      <w:r>
        <w:t>绩效目标实现情况分析</w:t>
      </w:r>
      <w:r>
        <w:tab/>
      </w:r>
      <w:r>
        <w:fldChar w:fldCharType="begin"/>
      </w:r>
      <w:r>
        <w:instrText xml:space="preserve"> PAGEREF _Toc1639 \h </w:instrText>
      </w:r>
      <w:r>
        <w:fldChar w:fldCharType="separate"/>
      </w:r>
      <w:r>
        <w:t>8</w:t>
      </w:r>
      <w:r>
        <w:fldChar w:fldCharType="end"/>
      </w:r>
      <w:r>
        <w:rPr>
          <w:rFonts w:hint="eastAsia"/>
        </w:rPr>
        <w:fldChar w:fldCharType="end"/>
      </w:r>
    </w:p>
    <w:p>
      <w:pPr>
        <w:pStyle w:val="11"/>
        <w:tabs>
          <w:tab w:val="right" w:leader="dot" w:pos="8306"/>
        </w:tabs>
      </w:pPr>
      <w:r>
        <w:rPr>
          <w:rFonts w:hint="eastAsia"/>
        </w:rPr>
        <w:fldChar w:fldCharType="begin"/>
      </w:r>
      <w:r>
        <w:rPr>
          <w:rFonts w:hint="eastAsia"/>
        </w:rPr>
        <w:instrText xml:space="preserve"> HYPERLINK \l _Toc27496 </w:instrText>
      </w:r>
      <w:r>
        <w:rPr>
          <w:rFonts w:hint="eastAsia"/>
        </w:rPr>
        <w:fldChar w:fldCharType="separate"/>
      </w:r>
      <w:r>
        <w:rPr>
          <w:rFonts w:hint="eastAsia"/>
          <w:lang w:eastAsia="zh-CN"/>
        </w:rPr>
        <w:t>（</w:t>
      </w:r>
      <w:r>
        <w:t>一</w:t>
      </w:r>
      <w:r>
        <w:rPr>
          <w:rFonts w:hint="eastAsia"/>
          <w:lang w:eastAsia="zh-CN"/>
        </w:rPr>
        <w:t>）</w:t>
      </w:r>
      <w:r>
        <w:t>部门资金情况分析</w:t>
      </w:r>
      <w:r>
        <w:tab/>
      </w:r>
      <w:r>
        <w:fldChar w:fldCharType="begin"/>
      </w:r>
      <w:r>
        <w:instrText xml:space="preserve"> PAGEREF _Toc27496 \h </w:instrText>
      </w:r>
      <w:r>
        <w:fldChar w:fldCharType="separate"/>
      </w:r>
      <w:r>
        <w:t>8</w:t>
      </w:r>
      <w:r>
        <w:fldChar w:fldCharType="end"/>
      </w:r>
      <w:r>
        <w:rPr>
          <w:rFonts w:hint="eastAsia"/>
        </w:rPr>
        <w:fldChar w:fldCharType="end"/>
      </w:r>
    </w:p>
    <w:p>
      <w:pPr>
        <w:pStyle w:val="11"/>
        <w:tabs>
          <w:tab w:val="right" w:leader="dot" w:pos="8306"/>
        </w:tabs>
      </w:pPr>
      <w:r>
        <w:rPr>
          <w:rFonts w:hint="eastAsia"/>
        </w:rPr>
        <w:fldChar w:fldCharType="begin"/>
      </w:r>
      <w:r>
        <w:rPr>
          <w:rFonts w:hint="eastAsia"/>
        </w:rPr>
        <w:instrText xml:space="preserve"> HYPERLINK \l _Toc31998 </w:instrText>
      </w:r>
      <w:r>
        <w:rPr>
          <w:rFonts w:hint="eastAsia"/>
        </w:rPr>
        <w:fldChar w:fldCharType="separate"/>
      </w:r>
      <w:r>
        <w:rPr>
          <w:rFonts w:hint="eastAsia"/>
          <w:lang w:eastAsia="zh-CN"/>
        </w:rPr>
        <w:t>（</w:t>
      </w:r>
      <w:r>
        <w:t>二</w:t>
      </w:r>
      <w:r>
        <w:rPr>
          <w:rFonts w:hint="eastAsia"/>
          <w:lang w:eastAsia="zh-CN"/>
        </w:rPr>
        <w:t>）</w:t>
      </w:r>
      <w:r>
        <w:t>项目绩效指标完成情况分析</w:t>
      </w:r>
      <w:r>
        <w:tab/>
      </w:r>
      <w:r>
        <w:fldChar w:fldCharType="begin"/>
      </w:r>
      <w:r>
        <w:instrText xml:space="preserve"> PAGEREF _Toc31998 \h </w:instrText>
      </w:r>
      <w:r>
        <w:fldChar w:fldCharType="separate"/>
      </w:r>
      <w:r>
        <w:t>11</w:t>
      </w:r>
      <w:r>
        <w:fldChar w:fldCharType="end"/>
      </w:r>
      <w:r>
        <w:rPr>
          <w:rFonts w:hint="eastAsia"/>
        </w:rPr>
        <w:fldChar w:fldCharType="end"/>
      </w:r>
    </w:p>
    <w:p>
      <w:pPr>
        <w:pStyle w:val="10"/>
        <w:tabs>
          <w:tab w:val="right" w:leader="dot" w:pos="8306"/>
        </w:tabs>
      </w:pPr>
      <w:r>
        <w:rPr>
          <w:rFonts w:hint="eastAsia"/>
        </w:rPr>
        <w:fldChar w:fldCharType="begin"/>
      </w:r>
      <w:r>
        <w:rPr>
          <w:rFonts w:hint="eastAsia"/>
        </w:rPr>
        <w:instrText xml:space="preserve"> HYPERLINK \l _Toc161 </w:instrText>
      </w:r>
      <w:r>
        <w:rPr>
          <w:rFonts w:hint="eastAsia"/>
        </w:rPr>
        <w:fldChar w:fldCharType="separate"/>
      </w:r>
      <w:r>
        <w:t>五、发现的主要问题和改进措施</w:t>
      </w:r>
      <w:r>
        <w:tab/>
      </w:r>
      <w:r>
        <w:fldChar w:fldCharType="begin"/>
      </w:r>
      <w:r>
        <w:instrText xml:space="preserve"> PAGEREF _Toc161 \h </w:instrText>
      </w:r>
      <w:r>
        <w:fldChar w:fldCharType="separate"/>
      </w:r>
      <w:r>
        <w:t>19</w:t>
      </w:r>
      <w:r>
        <w:fldChar w:fldCharType="end"/>
      </w:r>
      <w:r>
        <w:rPr>
          <w:rFonts w:hint="eastAsia"/>
        </w:rPr>
        <w:fldChar w:fldCharType="end"/>
      </w:r>
    </w:p>
    <w:p>
      <w:pPr>
        <w:pStyle w:val="11"/>
        <w:tabs>
          <w:tab w:val="right" w:leader="dot" w:pos="8306"/>
        </w:tabs>
      </w:pPr>
      <w:r>
        <w:rPr>
          <w:rFonts w:hint="eastAsia"/>
        </w:rPr>
        <w:fldChar w:fldCharType="begin"/>
      </w:r>
      <w:r>
        <w:rPr>
          <w:rFonts w:hint="eastAsia"/>
        </w:rPr>
        <w:instrText xml:space="preserve"> HYPERLINK \l _Toc7671 </w:instrText>
      </w:r>
      <w:r>
        <w:rPr>
          <w:rFonts w:hint="eastAsia"/>
        </w:rPr>
        <w:fldChar w:fldCharType="separate"/>
      </w:r>
      <w:r>
        <w:rPr>
          <w:rFonts w:hint="eastAsia"/>
        </w:rPr>
        <w:t>（一）</w:t>
      </w:r>
      <w:r>
        <w:t>发现的主要问题</w:t>
      </w:r>
      <w:r>
        <w:tab/>
      </w:r>
      <w:r>
        <w:fldChar w:fldCharType="begin"/>
      </w:r>
      <w:r>
        <w:instrText xml:space="preserve"> PAGEREF _Toc7671 \h </w:instrText>
      </w:r>
      <w:r>
        <w:fldChar w:fldCharType="separate"/>
      </w:r>
      <w:r>
        <w:t>19</w:t>
      </w:r>
      <w:r>
        <w:fldChar w:fldCharType="end"/>
      </w:r>
      <w:r>
        <w:rPr>
          <w:rFonts w:hint="eastAsia"/>
        </w:rPr>
        <w:fldChar w:fldCharType="end"/>
      </w:r>
    </w:p>
    <w:p>
      <w:pPr>
        <w:pStyle w:val="11"/>
        <w:tabs>
          <w:tab w:val="right" w:leader="dot" w:pos="8306"/>
        </w:tabs>
      </w:pPr>
      <w:r>
        <w:rPr>
          <w:rFonts w:hint="eastAsia"/>
        </w:rPr>
        <w:fldChar w:fldCharType="begin"/>
      </w:r>
      <w:r>
        <w:rPr>
          <w:rFonts w:hint="eastAsia"/>
        </w:rPr>
        <w:instrText xml:space="preserve"> HYPERLINK \l _Toc6374 </w:instrText>
      </w:r>
      <w:r>
        <w:rPr>
          <w:rFonts w:hint="eastAsia"/>
        </w:rPr>
        <w:fldChar w:fldCharType="separate"/>
      </w:r>
      <w:r>
        <w:rPr>
          <w:rFonts w:hint="eastAsia"/>
        </w:rPr>
        <w:t>（二）</w:t>
      </w:r>
      <w:r>
        <w:rPr>
          <w:lang w:val="zh-CN"/>
        </w:rPr>
        <w:t>下一步改进措施</w:t>
      </w:r>
      <w:r>
        <w:tab/>
      </w:r>
      <w:r>
        <w:fldChar w:fldCharType="begin"/>
      </w:r>
      <w:r>
        <w:instrText xml:space="preserve"> PAGEREF _Toc6374 \h </w:instrText>
      </w:r>
      <w:r>
        <w:fldChar w:fldCharType="separate"/>
      </w:r>
      <w:r>
        <w:t>19</w:t>
      </w:r>
      <w:r>
        <w:fldChar w:fldCharType="end"/>
      </w:r>
      <w:r>
        <w:rPr>
          <w:rFonts w:hint="eastAsia"/>
        </w:rPr>
        <w:fldChar w:fldCharType="end"/>
      </w:r>
    </w:p>
    <w:p>
      <w:pPr>
        <w:pStyle w:val="11"/>
        <w:tabs>
          <w:tab w:val="right" w:leader="dot" w:pos="8306"/>
        </w:tabs>
      </w:pPr>
      <w:r>
        <w:rPr>
          <w:rFonts w:hint="eastAsia"/>
        </w:rPr>
        <w:fldChar w:fldCharType="begin"/>
      </w:r>
      <w:r>
        <w:rPr>
          <w:rFonts w:hint="eastAsia"/>
        </w:rPr>
        <w:instrText xml:space="preserve"> HYPERLINK \l _Toc3124 </w:instrText>
      </w:r>
      <w:r>
        <w:rPr>
          <w:rFonts w:hint="eastAsia"/>
        </w:rPr>
        <w:fldChar w:fldCharType="separate"/>
      </w:r>
      <w:r>
        <w:rPr>
          <w:rFonts w:hint="eastAsia"/>
        </w:rPr>
        <w:t>（三）绩效自评结果应用</w:t>
      </w:r>
      <w:r>
        <w:tab/>
      </w:r>
      <w:r>
        <w:fldChar w:fldCharType="begin"/>
      </w:r>
      <w:r>
        <w:instrText xml:space="preserve"> PAGEREF _Toc3124 \h </w:instrText>
      </w:r>
      <w:r>
        <w:fldChar w:fldCharType="separate"/>
      </w:r>
      <w:r>
        <w:t>20</w:t>
      </w:r>
      <w:r>
        <w:fldChar w:fldCharType="end"/>
      </w:r>
      <w:r>
        <w:rPr>
          <w:rFonts w:hint="eastAsia"/>
        </w:rPr>
        <w:fldChar w:fldCharType="end"/>
      </w:r>
    </w:p>
    <w:p>
      <w:pPr>
        <w:pStyle w:val="10"/>
        <w:tabs>
          <w:tab w:val="right" w:leader="dot" w:pos="8306"/>
        </w:tabs>
      </w:pPr>
      <w:r>
        <w:rPr>
          <w:rFonts w:hint="eastAsia"/>
        </w:rPr>
        <w:fldChar w:fldCharType="begin"/>
      </w:r>
      <w:r>
        <w:rPr>
          <w:rFonts w:hint="eastAsia"/>
        </w:rPr>
        <w:instrText xml:space="preserve"> HYPERLINK \l _Toc12080 </w:instrText>
      </w:r>
      <w:r>
        <w:rPr>
          <w:rFonts w:hint="eastAsia"/>
        </w:rPr>
        <w:fldChar w:fldCharType="separate"/>
      </w:r>
      <w:r>
        <w:rPr>
          <w:rFonts w:hint="eastAsia"/>
        </w:rPr>
        <w:t>六、有关建议</w:t>
      </w:r>
      <w:r>
        <w:tab/>
      </w:r>
      <w:r>
        <w:fldChar w:fldCharType="begin"/>
      </w:r>
      <w:r>
        <w:instrText xml:space="preserve"> PAGEREF _Toc12080 \h </w:instrText>
      </w:r>
      <w:r>
        <w:fldChar w:fldCharType="separate"/>
      </w:r>
      <w:r>
        <w:t>20</w:t>
      </w:r>
      <w:r>
        <w:fldChar w:fldCharType="end"/>
      </w:r>
      <w:r>
        <w:rPr>
          <w:rFonts w:hint="eastAsia"/>
        </w:rPr>
        <w:fldChar w:fldCharType="end"/>
      </w:r>
    </w:p>
    <w:p>
      <w:pPr>
        <w:pStyle w:val="10"/>
        <w:tabs>
          <w:tab w:val="right" w:leader="dot" w:pos="8306"/>
        </w:tabs>
      </w:pPr>
      <w:r>
        <w:rPr>
          <w:rFonts w:hint="eastAsia"/>
        </w:rPr>
        <w:fldChar w:fldCharType="begin"/>
      </w:r>
      <w:r>
        <w:rPr>
          <w:rFonts w:hint="eastAsia"/>
        </w:rPr>
        <w:instrText xml:space="preserve"> HYPERLINK \l _Toc5111 </w:instrText>
      </w:r>
      <w:r>
        <w:rPr>
          <w:rFonts w:hint="eastAsia"/>
        </w:rPr>
        <w:fldChar w:fldCharType="separate"/>
      </w:r>
      <w:r>
        <w:t>七、</w:t>
      </w:r>
      <w:r>
        <w:rPr>
          <w:rFonts w:hint="eastAsia"/>
        </w:rPr>
        <w:t>其他需要说明的问题</w:t>
      </w:r>
      <w:r>
        <w:tab/>
      </w:r>
      <w:r>
        <w:fldChar w:fldCharType="begin"/>
      </w:r>
      <w:r>
        <w:instrText xml:space="preserve"> PAGEREF _Toc5111 \h </w:instrText>
      </w:r>
      <w:r>
        <w:fldChar w:fldCharType="separate"/>
      </w:r>
      <w:r>
        <w:t>21</w:t>
      </w:r>
      <w:r>
        <w:fldChar w:fldCharType="end"/>
      </w:r>
      <w:r>
        <w:rPr>
          <w:rFonts w:hint="eastAsia"/>
        </w:rPr>
        <w:fldChar w:fldCharType="end"/>
      </w:r>
    </w:p>
    <w:p>
      <w:pPr>
        <w:pStyle w:val="11"/>
        <w:tabs>
          <w:tab w:val="right" w:leader="dot" w:pos="8306"/>
        </w:tabs>
      </w:pPr>
      <w:r>
        <w:rPr>
          <w:rFonts w:hint="eastAsia"/>
        </w:rPr>
        <w:fldChar w:fldCharType="begin"/>
      </w:r>
      <w:r>
        <w:rPr>
          <w:rFonts w:hint="eastAsia"/>
        </w:rPr>
        <w:instrText xml:space="preserve"> HYPERLINK \l _Toc28443 </w:instrText>
      </w:r>
      <w:r>
        <w:rPr>
          <w:rFonts w:hint="eastAsia"/>
        </w:rPr>
        <w:fldChar w:fldCharType="separate"/>
      </w:r>
      <w:r>
        <w:rPr>
          <w:rFonts w:hint="eastAsia"/>
        </w:rPr>
        <w:t>（一）绩效自评工作经验</w:t>
      </w:r>
      <w:r>
        <w:tab/>
      </w:r>
      <w:r>
        <w:fldChar w:fldCharType="begin"/>
      </w:r>
      <w:r>
        <w:instrText xml:space="preserve"> PAGEREF _Toc28443 \h </w:instrText>
      </w:r>
      <w:r>
        <w:fldChar w:fldCharType="separate"/>
      </w:r>
      <w:r>
        <w:t>21</w:t>
      </w:r>
      <w:r>
        <w:fldChar w:fldCharType="end"/>
      </w:r>
      <w:r>
        <w:rPr>
          <w:rFonts w:hint="eastAsia"/>
        </w:rPr>
        <w:fldChar w:fldCharType="end"/>
      </w:r>
    </w:p>
    <w:p>
      <w:pPr>
        <w:pStyle w:val="11"/>
        <w:tabs>
          <w:tab w:val="right" w:leader="dot" w:pos="8306"/>
        </w:tabs>
      </w:pPr>
      <w:r>
        <w:rPr>
          <w:rFonts w:hint="eastAsia"/>
        </w:rPr>
        <w:fldChar w:fldCharType="begin"/>
      </w:r>
      <w:r>
        <w:rPr>
          <w:rFonts w:hint="eastAsia"/>
        </w:rPr>
        <w:instrText xml:space="preserve"> HYPERLINK \l _Toc10548 </w:instrText>
      </w:r>
      <w:r>
        <w:rPr>
          <w:rFonts w:hint="eastAsia"/>
        </w:rPr>
        <w:fldChar w:fldCharType="separate"/>
      </w:r>
      <w:r>
        <w:rPr>
          <w:rFonts w:hint="eastAsia"/>
          <w:highlight w:val="none"/>
        </w:rPr>
        <w:t>（二）绩效自评工作发现的</w:t>
      </w:r>
      <w:r>
        <w:rPr>
          <w:rFonts w:hint="eastAsia"/>
          <w:highlight w:val="none"/>
          <w:lang w:val="en-US" w:eastAsia="zh-CN"/>
        </w:rPr>
        <w:t>其他</w:t>
      </w:r>
      <w:r>
        <w:rPr>
          <w:rFonts w:hint="eastAsia"/>
          <w:highlight w:val="none"/>
        </w:rPr>
        <w:t>问题</w:t>
      </w:r>
      <w:r>
        <w:tab/>
      </w:r>
      <w:r>
        <w:fldChar w:fldCharType="begin"/>
      </w:r>
      <w:r>
        <w:instrText xml:space="preserve"> PAGEREF _Toc10548 \h </w:instrText>
      </w:r>
      <w:r>
        <w:fldChar w:fldCharType="separate"/>
      </w:r>
      <w:r>
        <w:t>21</w:t>
      </w:r>
      <w:r>
        <w:fldChar w:fldCharType="end"/>
      </w:r>
      <w:r>
        <w:rPr>
          <w:rFonts w:hint="eastAsia"/>
        </w:rPr>
        <w:fldChar w:fldCharType="end"/>
      </w:r>
    </w:p>
    <w:p>
      <w:pPr>
        <w:pStyle w:val="10"/>
        <w:tabs>
          <w:tab w:val="right" w:leader="dot" w:pos="8306"/>
        </w:tabs>
      </w:pPr>
      <w:r>
        <w:rPr>
          <w:rFonts w:hint="eastAsia"/>
        </w:rPr>
        <w:fldChar w:fldCharType="begin"/>
      </w:r>
      <w:r>
        <w:rPr>
          <w:rFonts w:hint="eastAsia"/>
        </w:rPr>
        <w:instrText xml:space="preserve"> HYPERLINK \l _Toc8331 </w:instrText>
      </w:r>
      <w:r>
        <w:rPr>
          <w:rFonts w:hint="eastAsia"/>
        </w:rPr>
        <w:fldChar w:fldCharType="separate"/>
      </w:r>
      <w:r>
        <w:rPr>
          <w:rFonts w:hint="eastAsia"/>
        </w:rPr>
        <w:t>附件1：</w:t>
      </w:r>
      <w:r>
        <w:rPr>
          <w:rFonts w:hint="eastAsia"/>
          <w:lang w:eastAsia="zh-CN"/>
        </w:rPr>
        <w:t>2021</w:t>
      </w:r>
      <w:r>
        <w:rPr>
          <w:rFonts w:hint="eastAsia"/>
        </w:rPr>
        <w:t>年度部门整体绩效自评表</w:t>
      </w:r>
      <w:r>
        <w:tab/>
      </w:r>
      <w:r>
        <w:fldChar w:fldCharType="begin"/>
      </w:r>
      <w:r>
        <w:instrText xml:space="preserve"> PAGEREF _Toc8331 \h </w:instrText>
      </w:r>
      <w:r>
        <w:fldChar w:fldCharType="separate"/>
      </w:r>
      <w:r>
        <w:t>22</w:t>
      </w:r>
      <w:r>
        <w:fldChar w:fldCharType="end"/>
      </w:r>
      <w:r>
        <w:rPr>
          <w:rFonts w:hint="eastAsia"/>
        </w:rPr>
        <w:fldChar w:fldCharType="end"/>
      </w:r>
    </w:p>
    <w:p>
      <w:pPr>
        <w:pStyle w:val="20"/>
        <w:bidi w:val="0"/>
        <w:rPr>
          <w:rFonts w:hint="eastAsia"/>
        </w:rPr>
      </w:pPr>
      <w:r>
        <w:rPr>
          <w:rFonts w:hint="eastAsia"/>
        </w:rPr>
        <w:fldChar w:fldCharType="end"/>
      </w:r>
    </w:p>
    <w:p>
      <w:pPr>
        <w:pStyle w:val="20"/>
        <w:bidi w:val="0"/>
        <w:rPr>
          <w:rFonts w:hint="eastAsia"/>
        </w:rPr>
        <w:sectPr>
          <w:footerReference r:id="rId5" w:type="default"/>
          <w:pgSz w:w="11906" w:h="16838"/>
          <w:pgMar w:top="1440" w:right="1800" w:bottom="1440" w:left="1800" w:header="851" w:footer="737" w:gutter="0"/>
          <w:pgBorders>
            <w:top w:val="none" w:sz="0" w:space="0"/>
            <w:left w:val="none" w:sz="0" w:space="0"/>
            <w:bottom w:val="none" w:sz="0" w:space="0"/>
            <w:right w:val="none" w:sz="0" w:space="0"/>
          </w:pgBorders>
          <w:pgNumType w:fmt="upperRoman" w:start="1"/>
          <w:cols w:space="0" w:num="1"/>
          <w:rtlGutter w:val="0"/>
          <w:docGrid w:linePitch="312" w:charSpace="0"/>
        </w:sectPr>
      </w:pPr>
    </w:p>
    <w:bookmarkEnd w:id="0"/>
    <w:p>
      <w:pPr>
        <w:bidi w:val="0"/>
        <w:ind w:left="0" w:leftChars="0" w:right="0" w:rightChars="0" w:firstLine="0" w:firstLineChars="0"/>
        <w:jc w:val="center"/>
        <w:outlineLvl w:val="9"/>
        <w:rPr>
          <w:sz w:val="44"/>
          <w:szCs w:val="36"/>
        </w:rPr>
      </w:pPr>
      <w:bookmarkStart w:id="1" w:name="_Toc27842"/>
      <w:bookmarkStart w:id="2" w:name="_Toc23630"/>
      <w:bookmarkStart w:id="3" w:name="_Toc6550"/>
      <w:bookmarkStart w:id="4" w:name="_Toc28057"/>
      <w:bookmarkStart w:id="5" w:name="_Toc12961"/>
      <w:r>
        <w:rPr>
          <w:rFonts w:hint="eastAsia" w:ascii="黑体" w:hAnsi="黑体" w:eastAsia="黑体" w:cs="黑体"/>
          <w:b/>
          <w:bCs/>
          <w:sz w:val="44"/>
          <w:szCs w:val="36"/>
          <w:lang w:eastAsia="zh-CN"/>
        </w:rPr>
        <w:t>2021</w:t>
      </w:r>
      <w:r>
        <w:rPr>
          <w:rFonts w:hint="eastAsia" w:ascii="黑体" w:hAnsi="黑体" w:eastAsia="黑体" w:cs="黑体"/>
          <w:b/>
          <w:bCs/>
          <w:sz w:val="44"/>
          <w:szCs w:val="36"/>
        </w:rPr>
        <w:t>年度部门整体自评报告</w:t>
      </w:r>
      <w:bookmarkEnd w:id="1"/>
      <w:bookmarkEnd w:id="2"/>
      <w:bookmarkEnd w:id="3"/>
      <w:bookmarkEnd w:id="4"/>
      <w:bookmarkEnd w:id="5"/>
    </w:p>
    <w:p>
      <w:pPr>
        <w:pStyle w:val="20"/>
        <w:bidi w:val="0"/>
        <w:jc w:val="both"/>
      </w:pPr>
      <w:r>
        <w:rPr>
          <w:rFonts w:hint="eastAsia"/>
        </w:rPr>
        <w:t>为深入贯彻落实</w:t>
      </w:r>
      <w:r>
        <w:rPr>
          <w:rFonts w:hint="eastAsia"/>
          <w:lang w:eastAsia="zh-CN"/>
        </w:rPr>
        <w:t>中共三门峡市委、三门峡市人民政府《关于全面实施预算绩效管理的意见》（三发〔2020〕14号）</w:t>
      </w:r>
      <w:r>
        <w:rPr>
          <w:rFonts w:hint="eastAsia"/>
        </w:rPr>
        <w:t>有关要求，健全绩效</w:t>
      </w:r>
      <w:r>
        <w:rPr>
          <w:rFonts w:hint="eastAsia"/>
          <w:lang w:eastAsia="zh-CN"/>
        </w:rPr>
        <w:t>管理</w:t>
      </w:r>
      <w:r>
        <w:rPr>
          <w:rFonts w:hint="eastAsia"/>
        </w:rPr>
        <w:t>常态化机制，强</w:t>
      </w:r>
      <w:r>
        <w:rPr>
          <w:rFonts w:hint="eastAsia"/>
          <w:lang w:eastAsia="zh-CN"/>
        </w:rPr>
        <w:t>化部门预算绩效管理主体责任，提高财政资金使用效益。按照</w:t>
      </w:r>
      <w:r>
        <w:rPr>
          <w:rFonts w:hint="eastAsia"/>
          <w:lang w:val="en-US" w:eastAsia="zh-CN"/>
        </w:rPr>
        <w:t>《三门峡市财政局关于开展2021年度市级预算绩效自评工作的通知》</w:t>
      </w:r>
      <w:r>
        <w:rPr>
          <w:rFonts w:hint="eastAsia"/>
          <w:lang w:eastAsia="zh-CN"/>
        </w:rPr>
        <w:t>的相关要求，我单位高度重视，成立了绩效自评工作领</w:t>
      </w:r>
      <w:r>
        <w:rPr>
          <w:rFonts w:hint="eastAsia"/>
        </w:rPr>
        <w:t>导小组，通过基础资料收集、线上、线下调查、数据汇总分析等工作程序，对部门整体的情况进行全面了解，根据文件要求，形成如下绩效自评报告。现将有关情况报告如下：</w:t>
      </w:r>
    </w:p>
    <w:p>
      <w:pPr>
        <w:pStyle w:val="2"/>
        <w:bidi w:val="0"/>
        <w:jc w:val="both"/>
        <w:rPr>
          <w:rFonts w:hint="default"/>
          <w:highlight w:val="yellow"/>
          <w:lang w:val="en-US" w:eastAsia="zh-CN"/>
        </w:rPr>
      </w:pPr>
      <w:bookmarkStart w:id="6" w:name="_Toc9093"/>
      <w:r>
        <w:rPr>
          <w:rFonts w:hint="eastAsia"/>
          <w:color w:val="auto"/>
          <w:lang w:val="en-US" w:eastAsia="zh-CN"/>
        </w:rPr>
        <w:t>一、</w:t>
      </w:r>
      <w:r>
        <w:rPr>
          <w:rFonts w:hint="eastAsia"/>
          <w:color w:val="auto"/>
        </w:rPr>
        <w:t>基本情况</w:t>
      </w:r>
      <w:bookmarkEnd w:id="6"/>
    </w:p>
    <w:p>
      <w:pPr>
        <w:pStyle w:val="3"/>
        <w:bidi w:val="0"/>
        <w:jc w:val="both"/>
      </w:pPr>
      <w:bookmarkStart w:id="7" w:name="_Toc14833"/>
      <w:r>
        <w:rPr>
          <w:rFonts w:hint="eastAsia"/>
        </w:rPr>
        <w:t>（</w:t>
      </w:r>
      <w:r>
        <w:rPr>
          <w:rFonts w:hint="eastAsia"/>
          <w:lang w:val="en-US" w:eastAsia="zh-CN"/>
        </w:rPr>
        <w:t>一</w:t>
      </w:r>
      <w:r>
        <w:rPr>
          <w:rFonts w:hint="eastAsia"/>
        </w:rPr>
        <w:t>）</w:t>
      </w:r>
      <w:r>
        <w:t>年度部门总目标及主要任务</w:t>
      </w:r>
      <w:bookmarkEnd w:id="7"/>
    </w:p>
    <w:p>
      <w:pPr>
        <w:pStyle w:val="20"/>
        <w:bidi w:val="0"/>
        <w:jc w:val="both"/>
        <w:rPr>
          <w:highlight w:val="none"/>
        </w:rPr>
      </w:pPr>
      <w:bookmarkStart w:id="8" w:name="_Toc21119"/>
      <w:bookmarkStart w:id="9" w:name="_Toc18200"/>
      <w:bookmarkStart w:id="10" w:name="_Toc5610"/>
      <w:r>
        <w:rPr>
          <w:rFonts w:hint="eastAsia"/>
          <w:highlight w:val="none"/>
        </w:rPr>
        <w:t>根据</w:t>
      </w:r>
      <w:r>
        <w:rPr>
          <w:rFonts w:hint="eastAsia"/>
          <w:highlight w:val="none"/>
          <w:lang w:val="en-US" w:eastAsia="zh-CN"/>
        </w:rPr>
        <w:t>工作计划并</w:t>
      </w:r>
      <w:r>
        <w:rPr>
          <w:rFonts w:hint="eastAsia"/>
          <w:highlight w:val="none"/>
        </w:rPr>
        <w:t>结合部门年初工作要点，我单位制定了如下年度目标及任务：</w:t>
      </w:r>
      <w:bookmarkEnd w:id="8"/>
      <w:bookmarkEnd w:id="9"/>
      <w:bookmarkEnd w:id="10"/>
    </w:p>
    <w:p>
      <w:pPr>
        <w:pStyle w:val="4"/>
        <w:bidi w:val="0"/>
        <w:jc w:val="both"/>
      </w:pPr>
      <w:r>
        <w:rPr>
          <w:rFonts w:hint="eastAsia"/>
        </w:rPr>
        <w:t>1.年度总体目标</w:t>
      </w:r>
    </w:p>
    <w:p>
      <w:pPr>
        <w:pStyle w:val="20"/>
        <w:bidi w:val="0"/>
        <w:jc w:val="both"/>
        <w:rPr>
          <w:rFonts w:hint="default" w:eastAsia="仿宋"/>
          <w:highlight w:val="none"/>
          <w:lang w:val="en-US" w:eastAsia="zh-CN"/>
        </w:rPr>
      </w:pPr>
      <w:r>
        <w:rPr>
          <w:rFonts w:hint="eastAsia"/>
          <w:highlight w:val="none"/>
        </w:rPr>
        <w:t>目标1：</w:t>
      </w:r>
      <w:r>
        <w:rPr>
          <w:rFonts w:hint="eastAsia"/>
          <w:highlight w:val="none"/>
          <w:lang w:val="en-US" w:eastAsia="zh-CN"/>
        </w:rPr>
        <w:t>推动民营经济，引导民营营企业家积极参与乡村振兴，推动巩固脱贫攻坚成果和乡村振兴有机衔接。引导支持党外人士积极参与建强省际区域中心城市和社会主义现代化三门峡建设。</w:t>
      </w:r>
    </w:p>
    <w:p>
      <w:pPr>
        <w:pStyle w:val="20"/>
        <w:bidi w:val="0"/>
        <w:jc w:val="both"/>
        <w:rPr>
          <w:highlight w:val="none"/>
        </w:rPr>
      </w:pPr>
      <w:r>
        <w:rPr>
          <w:rFonts w:hint="eastAsia"/>
          <w:highlight w:val="none"/>
        </w:rPr>
        <w:t>目标2：召开党外人士庆祝中国共产党成立100周年活动，开展全市统一战线庆祝中国共产党成立100周年活动，充分展示统一战线在党的领导下创新发展的光辉历程，组织广大统战干部开展党史学习教育，支持各领域开展“学五史、守初心、迎百年”等各具特色主题教育，不断巩固共同思想政治基础。</w:t>
      </w:r>
    </w:p>
    <w:p>
      <w:pPr>
        <w:pStyle w:val="20"/>
        <w:bidi w:val="0"/>
        <w:jc w:val="both"/>
        <w:rPr>
          <w:rFonts w:hint="eastAsia"/>
          <w:highlight w:val="none"/>
        </w:rPr>
      </w:pPr>
      <w:r>
        <w:rPr>
          <w:rFonts w:hint="eastAsia"/>
          <w:highlight w:val="none"/>
        </w:rPr>
        <w:t>目标3：深化宗教工作督查整改，加强源头治理，持续探索宗教中国化途经和方法，夯实宗教工作责任，推动宗教治理由治标向治本深化。</w:t>
      </w:r>
    </w:p>
    <w:p>
      <w:pPr>
        <w:pStyle w:val="20"/>
        <w:bidi w:val="0"/>
        <w:jc w:val="both"/>
        <w:rPr>
          <w:rFonts w:hint="eastAsia"/>
          <w:highlight w:val="none"/>
          <w:lang w:val="en-US" w:eastAsia="zh-CN"/>
        </w:rPr>
      </w:pPr>
      <w:r>
        <w:rPr>
          <w:rFonts w:hint="eastAsia"/>
          <w:highlight w:val="none"/>
          <w:lang w:val="en-US" w:eastAsia="zh-CN"/>
        </w:rPr>
        <w:t>目标4：推进筑牢中华民族共同意识宣传教育和政策落实，宣传我市民族团结进步模范典型事迹，唱响民族团结进步主旋律。促进各民族交往交流交融，打造我市少数民族聚居村乡村振兴的特色。</w:t>
      </w:r>
    </w:p>
    <w:p>
      <w:pPr>
        <w:pStyle w:val="20"/>
        <w:bidi w:val="0"/>
        <w:jc w:val="both"/>
        <w:rPr>
          <w:rFonts w:hint="eastAsia"/>
          <w:highlight w:val="none"/>
          <w:lang w:val="en-US" w:eastAsia="zh-CN"/>
        </w:rPr>
      </w:pPr>
      <w:r>
        <w:rPr>
          <w:rFonts w:hint="eastAsia"/>
          <w:highlight w:val="none"/>
          <w:lang w:val="en-US" w:eastAsia="zh-CN"/>
        </w:rPr>
        <w:t>目标5：协助做好民主党派换届工作，支持民主党派更好履行职能，提升多党合作制度效能。</w:t>
      </w:r>
    </w:p>
    <w:p>
      <w:pPr>
        <w:pStyle w:val="20"/>
        <w:bidi w:val="0"/>
        <w:jc w:val="both"/>
        <w:rPr>
          <w:rFonts w:hint="eastAsia"/>
          <w:highlight w:val="none"/>
          <w:lang w:val="en-US" w:eastAsia="zh-CN"/>
        </w:rPr>
      </w:pPr>
      <w:r>
        <w:rPr>
          <w:rFonts w:hint="eastAsia"/>
          <w:highlight w:val="none"/>
          <w:lang w:val="en-US" w:eastAsia="zh-CN"/>
        </w:rPr>
        <w:t>目标6：做好党外知识分子思想政治工作，加强无党派人士队伍建设，推进新的社会阶层人士统战工作创新发展，加强无党派人士、党外知识分子和新的社会阶层人士统战工作。</w:t>
      </w:r>
    </w:p>
    <w:p>
      <w:pPr>
        <w:pStyle w:val="20"/>
        <w:bidi w:val="0"/>
        <w:jc w:val="both"/>
        <w:rPr>
          <w:rFonts w:hint="eastAsia"/>
          <w:highlight w:val="none"/>
          <w:lang w:val="en-US" w:eastAsia="zh-CN"/>
        </w:rPr>
      </w:pPr>
      <w:r>
        <w:rPr>
          <w:rFonts w:hint="eastAsia"/>
          <w:highlight w:val="none"/>
          <w:lang w:val="en-US" w:eastAsia="zh-CN"/>
        </w:rPr>
        <w:t>目标7：做好港澳统战工作，持续完善港澳工作机制、港澳审批程序。做好对台统战工作，积极参与全市招商引资工作，促进更多台资企业落地我市，持续做好台胞渡母亲河、老子诞辰纪念等活动，继续办好台海局势报告会。加强港澳台统战工作。</w:t>
      </w:r>
    </w:p>
    <w:p>
      <w:pPr>
        <w:pStyle w:val="20"/>
        <w:bidi w:val="0"/>
        <w:jc w:val="both"/>
        <w:rPr>
          <w:rFonts w:hint="eastAsia"/>
          <w:highlight w:val="none"/>
          <w:lang w:val="en-US" w:eastAsia="zh-CN"/>
        </w:rPr>
      </w:pPr>
      <w:r>
        <w:rPr>
          <w:rFonts w:hint="eastAsia"/>
          <w:highlight w:val="none"/>
          <w:lang w:val="en-US" w:eastAsia="zh-CN"/>
        </w:rPr>
        <w:t>目标8：推动海外统战河侨务工作创新发展，做好海外侨胞“双稳”工作，实施“暖桥行动”，积极涵养和集聚华侨华人新生代力量。积极夸大对外交流，加强海外统战工作和侨务工作。</w:t>
      </w:r>
    </w:p>
    <w:p>
      <w:pPr>
        <w:pStyle w:val="20"/>
        <w:bidi w:val="0"/>
        <w:jc w:val="both"/>
        <w:rPr>
          <w:rFonts w:hint="default"/>
          <w:highlight w:val="none"/>
          <w:lang w:val="en-US" w:eastAsia="zh-CN"/>
        </w:rPr>
      </w:pPr>
      <w:r>
        <w:rPr>
          <w:rFonts w:hint="eastAsia"/>
          <w:highlight w:val="none"/>
          <w:lang w:val="en-US" w:eastAsia="zh-CN"/>
        </w:rPr>
        <w:t>目标9：加强党外代表人士队伍建设，完善统一战线各领域工作基础数据，持续提升党外代表人士队伍建设。</w:t>
      </w:r>
    </w:p>
    <w:p>
      <w:pPr>
        <w:pStyle w:val="4"/>
        <w:bidi w:val="0"/>
        <w:jc w:val="both"/>
        <w:rPr>
          <w:highlight w:val="none"/>
        </w:rPr>
      </w:pPr>
      <w:r>
        <w:rPr>
          <w:rFonts w:hint="eastAsia"/>
          <w:highlight w:val="none"/>
        </w:rPr>
        <w:t>2.年度主要工作内容</w:t>
      </w:r>
    </w:p>
    <w:p>
      <w:pPr>
        <w:pStyle w:val="20"/>
        <w:bidi w:val="0"/>
        <w:jc w:val="both"/>
        <w:rPr>
          <w:rFonts w:hint="eastAsia" w:eastAsia="仿宋"/>
          <w:highlight w:val="none"/>
          <w:lang w:eastAsia="zh-CN"/>
        </w:rPr>
      </w:pPr>
      <w:r>
        <w:rPr>
          <w:rFonts w:hint="eastAsia"/>
          <w:highlight w:val="none"/>
        </w:rPr>
        <w:t>任务1：统战特需活动</w:t>
      </w:r>
      <w:r>
        <w:rPr>
          <w:rFonts w:hint="eastAsia"/>
          <w:highlight w:val="none"/>
          <w:lang w:eastAsia="zh-CN"/>
        </w:rPr>
        <w:t>。</w:t>
      </w:r>
    </w:p>
    <w:p>
      <w:pPr>
        <w:pStyle w:val="20"/>
        <w:bidi w:val="0"/>
        <w:jc w:val="both"/>
        <w:rPr>
          <w:rFonts w:hint="eastAsia" w:eastAsia="仿宋"/>
          <w:highlight w:val="none"/>
          <w:lang w:eastAsia="zh-CN"/>
        </w:rPr>
      </w:pPr>
      <w:r>
        <w:rPr>
          <w:rFonts w:hint="eastAsia"/>
          <w:highlight w:val="none"/>
        </w:rPr>
        <w:t>任务2：推动宗教治理由治标向治本深化</w:t>
      </w:r>
      <w:r>
        <w:rPr>
          <w:rFonts w:hint="eastAsia"/>
          <w:highlight w:val="none"/>
          <w:lang w:eastAsia="zh-CN"/>
        </w:rPr>
        <w:t>。</w:t>
      </w:r>
    </w:p>
    <w:p>
      <w:pPr>
        <w:pStyle w:val="20"/>
        <w:bidi w:val="0"/>
        <w:jc w:val="both"/>
        <w:rPr>
          <w:rFonts w:hint="eastAsia" w:eastAsia="仿宋"/>
          <w:highlight w:val="none"/>
          <w:lang w:eastAsia="zh-CN"/>
        </w:rPr>
      </w:pPr>
      <w:r>
        <w:rPr>
          <w:rFonts w:hint="eastAsia"/>
          <w:highlight w:val="none"/>
        </w:rPr>
        <w:t>任务3：提升多党合作制度效能</w:t>
      </w:r>
      <w:r>
        <w:rPr>
          <w:rFonts w:hint="eastAsia"/>
          <w:highlight w:val="none"/>
          <w:lang w:eastAsia="zh-CN"/>
        </w:rPr>
        <w:t>。</w:t>
      </w:r>
    </w:p>
    <w:p>
      <w:pPr>
        <w:pStyle w:val="20"/>
        <w:bidi w:val="0"/>
        <w:jc w:val="both"/>
        <w:rPr>
          <w:rFonts w:hint="eastAsia" w:eastAsia="仿宋"/>
          <w:highlight w:val="none"/>
          <w:lang w:eastAsia="zh-CN"/>
        </w:rPr>
      </w:pPr>
      <w:r>
        <w:rPr>
          <w:rFonts w:hint="eastAsia"/>
          <w:highlight w:val="none"/>
        </w:rPr>
        <w:t>任务4：加强无党派人士、党外知识分子和新的社会阶层人士统战工作</w:t>
      </w:r>
      <w:r>
        <w:rPr>
          <w:rFonts w:hint="eastAsia"/>
          <w:highlight w:val="none"/>
          <w:lang w:eastAsia="zh-CN"/>
        </w:rPr>
        <w:t>。</w:t>
      </w:r>
    </w:p>
    <w:p>
      <w:pPr>
        <w:pStyle w:val="20"/>
        <w:bidi w:val="0"/>
        <w:jc w:val="both"/>
        <w:rPr>
          <w:rFonts w:hint="eastAsia" w:eastAsia="仿宋"/>
          <w:highlight w:val="none"/>
          <w:lang w:eastAsia="zh-CN"/>
        </w:rPr>
      </w:pPr>
      <w:r>
        <w:rPr>
          <w:rFonts w:hint="eastAsia"/>
          <w:highlight w:val="none"/>
        </w:rPr>
        <w:t>任务5：加强港澳台统战工作</w:t>
      </w:r>
      <w:r>
        <w:rPr>
          <w:rFonts w:hint="eastAsia"/>
          <w:highlight w:val="none"/>
          <w:lang w:eastAsia="zh-CN"/>
        </w:rPr>
        <w:t>。</w:t>
      </w:r>
    </w:p>
    <w:p>
      <w:pPr>
        <w:pStyle w:val="20"/>
        <w:bidi w:val="0"/>
        <w:jc w:val="both"/>
        <w:rPr>
          <w:rFonts w:hint="eastAsia"/>
          <w:highlight w:val="none"/>
          <w:lang w:val="en-US" w:eastAsia="zh-CN"/>
        </w:rPr>
      </w:pPr>
      <w:r>
        <w:rPr>
          <w:rFonts w:hint="eastAsia"/>
          <w:highlight w:val="none"/>
          <w:lang w:val="en-US" w:eastAsia="zh-CN"/>
        </w:rPr>
        <w:t>任务6：加强海外统战工作和侨务工作。</w:t>
      </w:r>
    </w:p>
    <w:p>
      <w:pPr>
        <w:pStyle w:val="20"/>
        <w:bidi w:val="0"/>
        <w:jc w:val="both"/>
        <w:rPr>
          <w:rFonts w:hint="default"/>
          <w:highlight w:val="yellow"/>
          <w:lang w:val="en-US" w:eastAsia="zh-CN"/>
        </w:rPr>
      </w:pPr>
      <w:r>
        <w:rPr>
          <w:rFonts w:hint="eastAsia"/>
          <w:highlight w:val="none"/>
          <w:lang w:val="en-US" w:eastAsia="zh-CN"/>
        </w:rPr>
        <w:t>任务7：提升党外代表人士队伍建设。</w:t>
      </w:r>
    </w:p>
    <w:p>
      <w:pPr>
        <w:pStyle w:val="4"/>
        <w:bidi w:val="0"/>
        <w:jc w:val="both"/>
      </w:pPr>
      <w:r>
        <w:rPr>
          <w:rFonts w:hint="eastAsia"/>
        </w:rPr>
        <w:t>3.</w:t>
      </w:r>
      <w:r>
        <w:t>年度部门整体预算绩效目标、绩效指标设定情况</w:t>
      </w:r>
    </w:p>
    <w:p>
      <w:pPr>
        <w:pStyle w:val="20"/>
        <w:bidi w:val="0"/>
        <w:jc w:val="both"/>
        <w:rPr>
          <w:rFonts w:hint="eastAsia"/>
        </w:rPr>
      </w:pPr>
      <w:bookmarkStart w:id="11" w:name="_Toc23108"/>
      <w:bookmarkStart w:id="12" w:name="_Toc12027"/>
      <w:bookmarkStart w:id="13" w:name="_Toc25009"/>
      <w:bookmarkStart w:id="14" w:name="_Toc10759"/>
      <w:bookmarkStart w:id="15" w:name="_Toc19880"/>
      <w:r>
        <w:rPr>
          <w:rFonts w:hint="eastAsia"/>
        </w:rPr>
        <w:t>我单位根据</w:t>
      </w:r>
      <w:r>
        <w:rPr>
          <w:rFonts w:hint="eastAsia"/>
          <w:highlight w:val="none"/>
          <w:lang w:eastAsia="zh-CN"/>
        </w:rPr>
        <w:t>2021</w:t>
      </w:r>
      <w:r>
        <w:rPr>
          <w:rFonts w:hint="eastAsia"/>
        </w:rPr>
        <w:t>年度工作计划，按照</w:t>
      </w:r>
      <w:r>
        <w:rPr>
          <w:rFonts w:hint="eastAsia"/>
          <w:highlight w:val="none"/>
          <w:lang w:val="en-US" w:eastAsia="zh-CN"/>
        </w:rPr>
        <w:t>相关</w:t>
      </w:r>
      <w:r>
        <w:rPr>
          <w:rFonts w:hint="eastAsia"/>
        </w:rPr>
        <w:t>文件要求，制定部门年度整体预算绩效目标表，具体内容详见</w:t>
      </w:r>
      <w:r>
        <w:rPr>
          <w:rFonts w:hint="eastAsia"/>
          <w:highlight w:val="none"/>
        </w:rPr>
        <w:t>附件1</w:t>
      </w:r>
      <w:r>
        <w:rPr>
          <w:rFonts w:hint="eastAsia"/>
        </w:rPr>
        <w:t>；</w:t>
      </w:r>
      <w:bookmarkEnd w:id="11"/>
      <w:bookmarkEnd w:id="12"/>
      <w:bookmarkEnd w:id="13"/>
      <w:bookmarkEnd w:id="14"/>
      <w:bookmarkEnd w:id="15"/>
    </w:p>
    <w:p>
      <w:pPr>
        <w:pStyle w:val="20"/>
        <w:bidi w:val="0"/>
        <w:jc w:val="both"/>
      </w:pPr>
      <w:r>
        <w:rPr>
          <w:rFonts w:hint="eastAsia"/>
        </w:rPr>
        <w:t>本次自评指标体系包括3个一级指标、</w:t>
      </w:r>
      <w:r>
        <w:rPr>
          <w:rFonts w:hint="eastAsia"/>
          <w:lang w:val="en-US" w:eastAsia="zh-CN"/>
        </w:rPr>
        <w:t>7</w:t>
      </w:r>
      <w:r>
        <w:rPr>
          <w:rFonts w:hint="eastAsia"/>
          <w:highlight w:val="none"/>
        </w:rPr>
        <w:t>个二级指标、3</w:t>
      </w:r>
      <w:r>
        <w:rPr>
          <w:rFonts w:hint="eastAsia"/>
          <w:highlight w:val="none"/>
          <w:lang w:val="en-US" w:eastAsia="zh-CN"/>
        </w:rPr>
        <w:t>6</w:t>
      </w:r>
      <w:r>
        <w:rPr>
          <w:rFonts w:hint="eastAsia"/>
          <w:highlight w:val="none"/>
        </w:rPr>
        <w:t>个三级指标。其中一级指标</w:t>
      </w:r>
      <w:r>
        <w:rPr>
          <w:rFonts w:hint="eastAsia"/>
          <w:highlight w:val="none"/>
          <w:lang w:val="en-US" w:eastAsia="zh-CN"/>
        </w:rPr>
        <w:t>从</w:t>
      </w:r>
      <w:r>
        <w:rPr>
          <w:rFonts w:hint="eastAsia"/>
          <w:highlight w:val="none"/>
        </w:rPr>
        <w:t>投入管理指</w:t>
      </w:r>
      <w:r>
        <w:rPr>
          <w:rFonts w:hint="eastAsia"/>
        </w:rPr>
        <w:t>标、产出指标、效益指标3个方面</w:t>
      </w:r>
      <w:r>
        <w:rPr>
          <w:rFonts w:hint="eastAsia"/>
          <w:lang w:eastAsia="zh-CN"/>
        </w:rPr>
        <w:t>，</w:t>
      </w:r>
      <w:r>
        <w:rPr>
          <w:rFonts w:hint="eastAsia"/>
        </w:rPr>
        <w:t>对一级指标进行细化评价；二级指标从工作目标管理、预算和财务管理、绩效管理、重点工作任务完成、履职目标实现、</w:t>
      </w:r>
      <w:r>
        <w:rPr>
          <w:rFonts w:hint="eastAsia"/>
          <w:highlight w:val="none"/>
        </w:rPr>
        <w:t>履职效益、满意度</w:t>
      </w:r>
      <w:r>
        <w:rPr>
          <w:rFonts w:hint="eastAsia"/>
          <w:highlight w:val="none"/>
          <w:lang w:val="en-US" w:eastAsia="zh-CN"/>
        </w:rPr>
        <w:t>7</w:t>
      </w:r>
      <w:r>
        <w:rPr>
          <w:rFonts w:hint="eastAsia"/>
          <w:highlight w:val="none"/>
        </w:rPr>
        <w:t>个</w:t>
      </w:r>
      <w:r>
        <w:rPr>
          <w:rFonts w:hint="eastAsia"/>
        </w:rPr>
        <w:t>方面对一级指标进行细化评价，三级指标是对二级指标的细化、量化。</w:t>
      </w:r>
    </w:p>
    <w:p>
      <w:pPr>
        <w:pStyle w:val="2"/>
        <w:bidi w:val="0"/>
        <w:jc w:val="both"/>
        <w:rPr>
          <w:color w:val="auto"/>
        </w:rPr>
      </w:pPr>
      <w:bookmarkStart w:id="16" w:name="_Toc6869"/>
      <w:r>
        <w:rPr>
          <w:rFonts w:hint="eastAsia"/>
          <w:color w:val="auto"/>
        </w:rPr>
        <w:t>二</w:t>
      </w:r>
      <w:r>
        <w:rPr>
          <w:color w:val="auto"/>
        </w:rPr>
        <w:t>、绩效自评工作开展情况</w:t>
      </w:r>
      <w:bookmarkEnd w:id="16"/>
    </w:p>
    <w:p>
      <w:pPr>
        <w:pStyle w:val="3"/>
        <w:bidi w:val="0"/>
        <w:jc w:val="both"/>
      </w:pPr>
      <w:bookmarkStart w:id="17" w:name="_Toc6496"/>
      <w:r>
        <w:rPr>
          <w:rFonts w:hint="eastAsia"/>
          <w:lang w:val="en-US" w:eastAsia="zh-CN"/>
        </w:rPr>
        <w:t>（一）评价方法</w:t>
      </w:r>
      <w:bookmarkEnd w:id="17"/>
    </w:p>
    <w:p>
      <w:pPr>
        <w:pStyle w:val="20"/>
        <w:bidi w:val="0"/>
        <w:jc w:val="both"/>
      </w:pPr>
      <w:r>
        <w:rPr>
          <w:rFonts w:hint="eastAsia"/>
        </w:rPr>
        <w:t>一是对照“部门整体支出绩效评价指标体系评分表”的主要考评内容及工作完成情况，将可以公开的资料整理成佐证材料。对照当年工作计划和上级交办的各项工作内容，进行自评、复</w:t>
      </w:r>
      <w:r>
        <w:rPr>
          <w:rFonts w:hint="eastAsia"/>
          <w:lang w:val="en-US" w:eastAsia="zh-CN"/>
        </w:rPr>
        <w:t>核</w:t>
      </w:r>
      <w:r>
        <w:rPr>
          <w:rFonts w:hint="eastAsia"/>
        </w:rPr>
        <w:t>，形成总体得分。</w:t>
      </w:r>
    </w:p>
    <w:p>
      <w:pPr>
        <w:pStyle w:val="20"/>
        <w:bidi w:val="0"/>
        <w:jc w:val="both"/>
        <w:rPr>
          <w:highlight w:val="none"/>
        </w:rPr>
      </w:pPr>
      <w:r>
        <w:rPr>
          <w:rFonts w:hint="eastAsia"/>
        </w:rPr>
        <w:t>二是</w:t>
      </w:r>
      <w:r>
        <w:rPr>
          <w:rFonts w:hint="eastAsia"/>
          <w:highlight w:val="none"/>
          <w:lang w:val="en-US" w:eastAsia="zh-CN"/>
        </w:rPr>
        <w:t>汇总调查问题</w:t>
      </w:r>
      <w:r>
        <w:rPr>
          <w:rFonts w:hint="eastAsia"/>
          <w:highlight w:val="none"/>
        </w:rPr>
        <w:t>，</w:t>
      </w:r>
      <w:r>
        <w:rPr>
          <w:rFonts w:hint="eastAsia"/>
          <w:highlight w:val="none"/>
          <w:lang w:val="en-US" w:eastAsia="zh-CN"/>
        </w:rPr>
        <w:t>进行现场访谈</w:t>
      </w:r>
      <w:r>
        <w:rPr>
          <w:rFonts w:hint="eastAsia"/>
          <w:highlight w:val="none"/>
        </w:rPr>
        <w:t>，对评价情况进行统计、汇总和复核后，形成</w:t>
      </w:r>
      <w:r>
        <w:rPr>
          <w:rFonts w:hint="eastAsia"/>
          <w:highlight w:val="none"/>
          <w:lang w:eastAsia="zh-CN"/>
        </w:rPr>
        <w:t>我</w:t>
      </w:r>
      <w:r>
        <w:rPr>
          <w:rFonts w:hint="eastAsia"/>
          <w:highlight w:val="none"/>
        </w:rPr>
        <w:t>单位社会满意度调查结果。</w:t>
      </w:r>
    </w:p>
    <w:p>
      <w:pPr>
        <w:pStyle w:val="20"/>
        <w:bidi w:val="0"/>
        <w:jc w:val="both"/>
      </w:pPr>
      <w:r>
        <w:rPr>
          <w:rFonts w:hint="eastAsia"/>
          <w:highlight w:val="none"/>
        </w:rPr>
        <w:t>三是组织纳入部门整体支出绩效评价范围的局属单位开展部门绩效评价工作，特别是专项项目实施绩效自评，并</w:t>
      </w:r>
      <w:r>
        <w:rPr>
          <w:rFonts w:hint="eastAsia"/>
        </w:rPr>
        <w:t>通过部门上报数据和资料、实地核查分析、重点抽查等方式客观进行整体评价、打分。</w:t>
      </w:r>
    </w:p>
    <w:p>
      <w:pPr>
        <w:pStyle w:val="3"/>
        <w:bidi w:val="0"/>
        <w:jc w:val="both"/>
      </w:pPr>
      <w:bookmarkStart w:id="18" w:name="_Toc20740"/>
      <w:r>
        <w:rPr>
          <w:rFonts w:hint="eastAsia"/>
          <w:lang w:val="en-US" w:eastAsia="zh-CN"/>
        </w:rPr>
        <w:t>（二）工作程序</w:t>
      </w:r>
      <w:bookmarkEnd w:id="18"/>
    </w:p>
    <w:p>
      <w:pPr>
        <w:pStyle w:val="20"/>
        <w:bidi w:val="0"/>
        <w:jc w:val="both"/>
      </w:pPr>
      <w:r>
        <w:rPr>
          <w:rFonts w:hint="eastAsia"/>
        </w:rPr>
        <w:t>根据</w:t>
      </w:r>
      <w:r>
        <w:rPr>
          <w:rFonts w:hint="eastAsia"/>
          <w:lang w:val="en-US" w:eastAsia="zh-CN"/>
        </w:rPr>
        <w:t>《三门峡市财政局关于开展2021年度市级预算绩效自评工作的通知》</w:t>
      </w:r>
      <w:r>
        <w:rPr>
          <w:rFonts w:hint="eastAsia"/>
        </w:rPr>
        <w:t>我单位成立绩效自评工作组，负责组织实施，明确人员分工，相关人员各司其职，顺利完成本次评价工作。我们针对部门整体支出绩效自评工作，组织分管领导及各科室相关人员参加部门整体支出自评管理，对各科室相关人员进行绩效自评工作培训，认真做好相关材料的准备工作。评价工作启动后，评价工作组与相关科室进行沟通，明确评价要求，初步了解项目基本情况，收集整理相关项目资料，项目组经过深入了解，明确了本次评价目的、方法、指标、标准等内容，并按照前期调研工作思路，启动绩效自评工作，经过数据采集、访谈、实地调研及数据复核、数据分析和报告撰写等环节对</w:t>
      </w:r>
      <w:r>
        <w:rPr>
          <w:rFonts w:hint="eastAsia"/>
          <w:lang w:eastAsia="zh-CN"/>
        </w:rPr>
        <w:t>2021</w:t>
      </w:r>
      <w:r>
        <w:rPr>
          <w:rFonts w:hint="eastAsia"/>
        </w:rPr>
        <w:t>年度部门整体履职效益进行自评打分，发现问题，并落实整改。</w:t>
      </w:r>
    </w:p>
    <w:p>
      <w:pPr>
        <w:pStyle w:val="2"/>
        <w:bidi w:val="0"/>
        <w:jc w:val="both"/>
        <w:rPr>
          <w:color w:val="auto"/>
        </w:rPr>
      </w:pPr>
      <w:bookmarkStart w:id="19" w:name="_Toc2938"/>
      <w:r>
        <w:rPr>
          <w:rFonts w:hint="eastAsia"/>
          <w:color w:val="auto"/>
        </w:rPr>
        <w:t>三</w:t>
      </w:r>
      <w:r>
        <w:rPr>
          <w:color w:val="auto"/>
        </w:rPr>
        <w:t>、综合评价结论</w:t>
      </w:r>
      <w:bookmarkEnd w:id="19"/>
    </w:p>
    <w:p>
      <w:pPr>
        <w:pStyle w:val="20"/>
        <w:bidi w:val="0"/>
        <w:jc w:val="both"/>
      </w:pPr>
      <w:r>
        <w:t>依据自评指标体系，通过对</w:t>
      </w:r>
      <w:r>
        <w:rPr>
          <w:rFonts w:hint="eastAsia"/>
        </w:rPr>
        <w:t>预算执行情况、投入管理指标、产出指标</w:t>
      </w:r>
      <w:r>
        <w:rPr>
          <w:rFonts w:hint="eastAsia"/>
          <w:color w:val="auto"/>
          <w:highlight w:val="none"/>
        </w:rPr>
        <w:t>、效益指标</w:t>
      </w:r>
      <w:r>
        <w:rPr>
          <w:color w:val="auto"/>
          <w:highlight w:val="none"/>
        </w:rPr>
        <w:t>进行全面综合评价，</w:t>
      </w:r>
      <w:r>
        <w:rPr>
          <w:rFonts w:hint="eastAsia"/>
          <w:color w:val="auto"/>
          <w:highlight w:val="none"/>
          <w:lang w:eastAsia="zh-CN"/>
        </w:rPr>
        <w:t>2021</w:t>
      </w:r>
      <w:r>
        <w:rPr>
          <w:color w:val="auto"/>
          <w:highlight w:val="none"/>
        </w:rPr>
        <w:t>年度</w:t>
      </w:r>
      <w:r>
        <w:rPr>
          <w:rFonts w:hint="eastAsia"/>
          <w:color w:val="auto"/>
          <w:highlight w:val="none"/>
        </w:rPr>
        <w:t>我单位</w:t>
      </w:r>
      <w:r>
        <w:rPr>
          <w:color w:val="auto"/>
          <w:highlight w:val="none"/>
        </w:rPr>
        <w:t>整体自评得分为</w:t>
      </w:r>
      <w:r>
        <w:rPr>
          <w:rFonts w:hint="eastAsia"/>
          <w:color w:val="auto"/>
          <w:highlight w:val="none"/>
          <w:lang w:val="en-US" w:eastAsia="zh-CN"/>
        </w:rPr>
        <w:t>98</w:t>
      </w:r>
      <w:r>
        <w:rPr>
          <w:color w:val="auto"/>
          <w:highlight w:val="none"/>
        </w:rPr>
        <w:t>分，评价等级为</w:t>
      </w:r>
      <w:r>
        <w:rPr>
          <w:rFonts w:hint="eastAsia"/>
          <w:color w:val="auto"/>
          <w:highlight w:val="none"/>
        </w:rPr>
        <w:t>“</w:t>
      </w:r>
      <w:r>
        <w:rPr>
          <w:rFonts w:hint="eastAsia"/>
          <w:color w:val="auto"/>
          <w:highlight w:val="none"/>
          <w:lang w:val="en-US" w:eastAsia="zh-CN"/>
        </w:rPr>
        <w:t>优</w:t>
      </w:r>
      <w:r>
        <w:rPr>
          <w:rFonts w:hint="eastAsia"/>
          <w:color w:val="auto"/>
          <w:highlight w:val="none"/>
        </w:rPr>
        <w:t>”。</w:t>
      </w:r>
      <w:r>
        <w:rPr>
          <w:color w:val="auto"/>
          <w:highlight w:val="none"/>
        </w:rPr>
        <w:t>其中，预算执行率一项得分</w:t>
      </w:r>
      <w:r>
        <w:rPr>
          <w:rFonts w:hint="eastAsia"/>
          <w:color w:val="auto"/>
          <w:highlight w:val="none"/>
          <w:lang w:val="en-US" w:eastAsia="zh-CN"/>
        </w:rPr>
        <w:t>10</w:t>
      </w:r>
      <w:r>
        <w:rPr>
          <w:color w:val="auto"/>
          <w:highlight w:val="none"/>
        </w:rPr>
        <w:t>分，</w:t>
      </w:r>
      <w:r>
        <w:rPr>
          <w:rFonts w:hint="eastAsia"/>
          <w:color w:val="auto"/>
          <w:highlight w:val="none"/>
        </w:rPr>
        <w:t>投入管理</w:t>
      </w:r>
      <w:r>
        <w:rPr>
          <w:color w:val="auto"/>
          <w:highlight w:val="none"/>
        </w:rPr>
        <w:t>指标得分</w:t>
      </w:r>
      <w:r>
        <w:rPr>
          <w:rFonts w:hint="eastAsia"/>
          <w:color w:val="auto"/>
          <w:highlight w:val="none"/>
          <w:lang w:val="en-US" w:eastAsia="zh-CN"/>
        </w:rPr>
        <w:t>30</w:t>
      </w:r>
      <w:r>
        <w:rPr>
          <w:color w:val="auto"/>
          <w:highlight w:val="none"/>
        </w:rPr>
        <w:t>分，</w:t>
      </w:r>
      <w:r>
        <w:rPr>
          <w:rFonts w:hint="eastAsia"/>
          <w:color w:val="auto"/>
          <w:highlight w:val="none"/>
        </w:rPr>
        <w:t>产出指标得分</w:t>
      </w:r>
      <w:r>
        <w:rPr>
          <w:rFonts w:hint="eastAsia"/>
          <w:color w:val="auto"/>
          <w:highlight w:val="none"/>
          <w:lang w:val="en-US" w:eastAsia="zh-CN"/>
        </w:rPr>
        <w:t>25</w:t>
      </w:r>
      <w:r>
        <w:rPr>
          <w:color w:val="auto"/>
          <w:highlight w:val="none"/>
        </w:rPr>
        <w:t>分</w:t>
      </w:r>
      <w:r>
        <w:rPr>
          <w:rFonts w:hint="eastAsia"/>
          <w:color w:val="auto"/>
          <w:highlight w:val="none"/>
        </w:rPr>
        <w:t>，效益指标得分</w:t>
      </w:r>
      <w:r>
        <w:rPr>
          <w:rFonts w:hint="eastAsia"/>
          <w:color w:val="auto"/>
          <w:highlight w:val="none"/>
          <w:lang w:val="en-US" w:eastAsia="zh-CN"/>
        </w:rPr>
        <w:t>33</w:t>
      </w:r>
      <w:r>
        <w:rPr>
          <w:color w:val="auto"/>
          <w:highlight w:val="none"/>
        </w:rPr>
        <w:t>分</w:t>
      </w:r>
      <w:r>
        <w:rPr>
          <w:rFonts w:hint="eastAsia"/>
          <w:color w:val="auto"/>
          <w:highlight w:val="none"/>
        </w:rPr>
        <w:t>；</w:t>
      </w:r>
      <w:r>
        <w:t>总体得分情况如下表3-1，具体指标得分情况详见表3-</w:t>
      </w:r>
      <w:r>
        <w:rPr>
          <w:rFonts w:hint="eastAsia"/>
          <w:lang w:val="en-US" w:eastAsia="zh-CN"/>
        </w:rPr>
        <w:t>2</w:t>
      </w:r>
      <w:r>
        <w:rPr>
          <w:rFonts w:hint="eastAsia"/>
        </w:rPr>
        <w:t>；</w:t>
      </w:r>
    </w:p>
    <w:p>
      <w:pPr>
        <w:pStyle w:val="17"/>
        <w:bidi w:val="0"/>
      </w:pPr>
      <w:r>
        <w:rPr>
          <w:rFonts w:hint="eastAsia"/>
        </w:rPr>
        <w:t>表</w:t>
      </w:r>
      <w:r>
        <w:t xml:space="preserve">3-1 </w:t>
      </w:r>
      <w:r>
        <w:rPr>
          <w:rFonts w:hint="eastAsia"/>
        </w:rPr>
        <w:t>部门整体得分情况</w:t>
      </w:r>
    </w:p>
    <w:tbl>
      <w:tblPr>
        <w:tblStyle w:val="14"/>
        <w:tblW w:w="49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4"/>
        <w:gridCol w:w="1717"/>
        <w:gridCol w:w="1776"/>
        <w:gridCol w:w="1228"/>
        <w:gridCol w:w="1074"/>
        <w:gridCol w:w="1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jc w:val="center"/>
        </w:trPr>
        <w:tc>
          <w:tcPr>
            <w:tcW w:w="940" w:type="pct"/>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pPr>
              <w:pStyle w:val="16"/>
              <w:bidi w:val="0"/>
              <w:rPr>
                <w:rFonts w:hint="eastAsia"/>
              </w:rPr>
            </w:pPr>
            <w:r>
              <w:rPr>
                <w:rFonts w:hint="eastAsia"/>
              </w:rPr>
              <w:t>一级指标</w:t>
            </w:r>
          </w:p>
        </w:tc>
        <w:tc>
          <w:tcPr>
            <w:tcW w:w="1012" w:type="pct"/>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pPr>
              <w:pStyle w:val="16"/>
              <w:bidi w:val="0"/>
              <w:rPr>
                <w:rFonts w:hint="eastAsia"/>
              </w:rPr>
            </w:pPr>
            <w:r>
              <w:rPr>
                <w:rFonts w:hint="eastAsia"/>
              </w:rPr>
              <w:t>预算执行情况</w:t>
            </w:r>
          </w:p>
        </w:tc>
        <w:tc>
          <w:tcPr>
            <w:tcW w:w="1047" w:type="pct"/>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pPr>
              <w:pStyle w:val="16"/>
              <w:bidi w:val="0"/>
              <w:rPr>
                <w:rFonts w:hint="eastAsia"/>
              </w:rPr>
            </w:pPr>
            <w:r>
              <w:rPr>
                <w:rFonts w:hint="eastAsia"/>
              </w:rPr>
              <w:t>投入管理指标</w:t>
            </w:r>
          </w:p>
        </w:tc>
        <w:tc>
          <w:tcPr>
            <w:tcW w:w="724" w:type="pct"/>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pPr>
              <w:pStyle w:val="16"/>
              <w:bidi w:val="0"/>
              <w:rPr>
                <w:rFonts w:hint="eastAsia"/>
              </w:rPr>
            </w:pPr>
            <w:r>
              <w:rPr>
                <w:rFonts w:hint="eastAsia"/>
              </w:rPr>
              <w:t>产出指标</w:t>
            </w:r>
          </w:p>
        </w:tc>
        <w:tc>
          <w:tcPr>
            <w:tcW w:w="633" w:type="pct"/>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pPr>
              <w:pStyle w:val="16"/>
              <w:bidi w:val="0"/>
              <w:rPr>
                <w:rFonts w:hint="eastAsia"/>
              </w:rPr>
            </w:pPr>
            <w:r>
              <w:rPr>
                <w:rFonts w:hint="eastAsia"/>
              </w:rPr>
              <w:t>效益指标</w:t>
            </w:r>
          </w:p>
        </w:tc>
        <w:tc>
          <w:tcPr>
            <w:tcW w:w="641" w:type="pct"/>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pPr>
              <w:pStyle w:val="16"/>
              <w:bidi w:val="0"/>
              <w:rPr>
                <w:rFonts w:hint="eastAsia"/>
              </w:rPr>
            </w:pPr>
            <w:r>
              <w:rPr>
                <w:rFonts w:hint="eastAsia"/>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940" w:type="pct"/>
            <w:tcBorders>
              <w:top w:val="single" w:color="auto" w:sz="4" w:space="0"/>
              <w:left w:val="single" w:color="auto" w:sz="4" w:space="0"/>
              <w:bottom w:val="single" w:color="auto" w:sz="4" w:space="0"/>
              <w:right w:val="single" w:color="auto" w:sz="4" w:space="0"/>
            </w:tcBorders>
            <w:vAlign w:val="center"/>
          </w:tcPr>
          <w:p>
            <w:pPr>
              <w:pStyle w:val="16"/>
              <w:bidi w:val="0"/>
              <w:rPr>
                <w:rFonts w:hint="eastAsia"/>
              </w:rPr>
            </w:pPr>
            <w:r>
              <w:rPr>
                <w:rFonts w:hint="eastAsia"/>
              </w:rPr>
              <w:t>权重</w:t>
            </w:r>
          </w:p>
        </w:tc>
        <w:tc>
          <w:tcPr>
            <w:tcW w:w="1012" w:type="pct"/>
            <w:tcBorders>
              <w:top w:val="single" w:color="auto" w:sz="4" w:space="0"/>
              <w:left w:val="single" w:color="auto" w:sz="4" w:space="0"/>
              <w:bottom w:val="single" w:color="auto" w:sz="4" w:space="0"/>
              <w:right w:val="single" w:color="auto" w:sz="4" w:space="0"/>
            </w:tcBorders>
            <w:vAlign w:val="center"/>
          </w:tcPr>
          <w:p>
            <w:pPr>
              <w:pStyle w:val="16"/>
              <w:bidi w:val="0"/>
              <w:rPr>
                <w:rFonts w:hint="default" w:eastAsia="仿宋"/>
                <w:highlight w:val="none"/>
                <w:lang w:val="en-US" w:eastAsia="zh-CN"/>
              </w:rPr>
            </w:pPr>
            <w:r>
              <w:rPr>
                <w:rFonts w:hint="eastAsia"/>
                <w:highlight w:val="none"/>
                <w:lang w:val="en-US" w:eastAsia="zh-CN"/>
              </w:rPr>
              <w:t>10</w:t>
            </w:r>
          </w:p>
        </w:tc>
        <w:tc>
          <w:tcPr>
            <w:tcW w:w="1047" w:type="pct"/>
            <w:tcBorders>
              <w:top w:val="single" w:color="auto" w:sz="4" w:space="0"/>
              <w:left w:val="single" w:color="auto" w:sz="4" w:space="0"/>
              <w:bottom w:val="single" w:color="auto" w:sz="4" w:space="0"/>
              <w:right w:val="single" w:color="auto" w:sz="4" w:space="0"/>
            </w:tcBorders>
            <w:vAlign w:val="center"/>
          </w:tcPr>
          <w:p>
            <w:pPr>
              <w:pStyle w:val="16"/>
              <w:bidi w:val="0"/>
              <w:rPr>
                <w:rFonts w:hint="default" w:eastAsia="仿宋"/>
                <w:highlight w:val="none"/>
                <w:lang w:val="en-US" w:eastAsia="zh-CN"/>
              </w:rPr>
            </w:pPr>
            <w:r>
              <w:rPr>
                <w:rFonts w:hint="eastAsia"/>
                <w:highlight w:val="none"/>
                <w:lang w:val="en-US" w:eastAsia="zh-CN"/>
              </w:rPr>
              <w:t>30</w:t>
            </w:r>
          </w:p>
        </w:tc>
        <w:tc>
          <w:tcPr>
            <w:tcW w:w="724" w:type="pct"/>
            <w:tcBorders>
              <w:top w:val="single" w:color="auto" w:sz="4" w:space="0"/>
              <w:left w:val="single" w:color="auto" w:sz="4" w:space="0"/>
              <w:bottom w:val="single" w:color="auto" w:sz="4" w:space="0"/>
              <w:right w:val="single" w:color="auto" w:sz="4" w:space="0"/>
            </w:tcBorders>
            <w:vAlign w:val="center"/>
          </w:tcPr>
          <w:p>
            <w:pPr>
              <w:pStyle w:val="16"/>
              <w:bidi w:val="0"/>
              <w:rPr>
                <w:rFonts w:hint="default" w:eastAsia="仿宋"/>
                <w:highlight w:val="none"/>
                <w:lang w:val="en-US" w:eastAsia="zh-CN"/>
              </w:rPr>
            </w:pPr>
            <w:r>
              <w:rPr>
                <w:rFonts w:hint="eastAsia"/>
                <w:highlight w:val="none"/>
                <w:lang w:val="en-US" w:eastAsia="zh-CN"/>
              </w:rPr>
              <w:t>25</w:t>
            </w:r>
          </w:p>
        </w:tc>
        <w:tc>
          <w:tcPr>
            <w:tcW w:w="633" w:type="pct"/>
            <w:tcBorders>
              <w:top w:val="single" w:color="auto" w:sz="4" w:space="0"/>
              <w:left w:val="single" w:color="auto" w:sz="4" w:space="0"/>
              <w:bottom w:val="single" w:color="auto" w:sz="4" w:space="0"/>
              <w:right w:val="single" w:color="auto" w:sz="4" w:space="0"/>
            </w:tcBorders>
            <w:vAlign w:val="center"/>
          </w:tcPr>
          <w:p>
            <w:pPr>
              <w:pStyle w:val="16"/>
              <w:bidi w:val="0"/>
              <w:rPr>
                <w:rFonts w:hint="default" w:eastAsia="仿宋"/>
                <w:highlight w:val="none"/>
                <w:lang w:val="en-US" w:eastAsia="zh-CN"/>
              </w:rPr>
            </w:pPr>
            <w:r>
              <w:rPr>
                <w:rFonts w:hint="eastAsia"/>
                <w:highlight w:val="none"/>
                <w:lang w:val="en-US" w:eastAsia="zh-CN"/>
              </w:rPr>
              <w:t>35</w:t>
            </w:r>
          </w:p>
        </w:tc>
        <w:tc>
          <w:tcPr>
            <w:tcW w:w="641" w:type="pct"/>
            <w:tcBorders>
              <w:top w:val="single" w:color="auto" w:sz="4" w:space="0"/>
              <w:left w:val="single" w:color="auto" w:sz="4" w:space="0"/>
              <w:bottom w:val="single" w:color="auto" w:sz="4" w:space="0"/>
              <w:right w:val="single" w:color="auto" w:sz="4" w:space="0"/>
            </w:tcBorders>
            <w:vAlign w:val="center"/>
          </w:tcPr>
          <w:p>
            <w:pPr>
              <w:pStyle w:val="16"/>
              <w:bidi w:val="0"/>
              <w:rPr>
                <w:rFonts w:hint="default" w:eastAsia="仿宋"/>
                <w:highlight w:val="none"/>
                <w:lang w:val="en-US" w:eastAsia="zh-CN"/>
              </w:rPr>
            </w:pPr>
            <w:r>
              <w:rPr>
                <w:rFonts w:hint="eastAsia"/>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940" w:type="pct"/>
            <w:tcBorders>
              <w:top w:val="single" w:color="auto" w:sz="4" w:space="0"/>
              <w:left w:val="single" w:color="auto" w:sz="4" w:space="0"/>
              <w:bottom w:val="single" w:color="auto" w:sz="4" w:space="0"/>
              <w:right w:val="single" w:color="auto" w:sz="4" w:space="0"/>
            </w:tcBorders>
            <w:vAlign w:val="center"/>
          </w:tcPr>
          <w:p>
            <w:pPr>
              <w:pStyle w:val="16"/>
              <w:bidi w:val="0"/>
              <w:rPr>
                <w:rFonts w:hint="eastAsia"/>
              </w:rPr>
            </w:pPr>
            <w:r>
              <w:rPr>
                <w:rFonts w:hint="eastAsia"/>
              </w:rPr>
              <w:t>得分率</w:t>
            </w:r>
          </w:p>
        </w:tc>
        <w:tc>
          <w:tcPr>
            <w:tcW w:w="1012" w:type="pct"/>
            <w:tcBorders>
              <w:top w:val="single" w:color="auto" w:sz="4" w:space="0"/>
              <w:left w:val="single" w:color="auto" w:sz="4" w:space="0"/>
              <w:bottom w:val="single" w:color="auto" w:sz="4" w:space="0"/>
              <w:right w:val="single" w:color="auto" w:sz="4" w:space="0"/>
            </w:tcBorders>
            <w:vAlign w:val="center"/>
          </w:tcPr>
          <w:p>
            <w:pPr>
              <w:pStyle w:val="16"/>
              <w:bidi w:val="0"/>
              <w:rPr>
                <w:rFonts w:hint="default" w:eastAsia="仿宋"/>
                <w:highlight w:val="none"/>
                <w:lang w:val="en-US" w:eastAsia="zh-CN"/>
              </w:rPr>
            </w:pPr>
            <w:r>
              <w:rPr>
                <w:rFonts w:hint="eastAsia"/>
                <w:highlight w:val="none"/>
                <w:lang w:val="en-US" w:eastAsia="zh-CN"/>
              </w:rPr>
              <w:t>100%</w:t>
            </w:r>
          </w:p>
        </w:tc>
        <w:tc>
          <w:tcPr>
            <w:tcW w:w="1047" w:type="pct"/>
            <w:tcBorders>
              <w:top w:val="single" w:color="auto" w:sz="4" w:space="0"/>
              <w:left w:val="single" w:color="auto" w:sz="4" w:space="0"/>
              <w:bottom w:val="single" w:color="auto" w:sz="4" w:space="0"/>
              <w:right w:val="single" w:color="auto" w:sz="4" w:space="0"/>
            </w:tcBorders>
            <w:vAlign w:val="center"/>
          </w:tcPr>
          <w:p>
            <w:pPr>
              <w:pStyle w:val="16"/>
              <w:bidi w:val="0"/>
              <w:rPr>
                <w:rFonts w:hint="default" w:eastAsia="仿宋"/>
                <w:highlight w:val="none"/>
                <w:lang w:val="en-US" w:eastAsia="zh-CN"/>
              </w:rPr>
            </w:pPr>
            <w:r>
              <w:rPr>
                <w:rFonts w:hint="eastAsia"/>
                <w:highlight w:val="none"/>
                <w:lang w:val="en-US" w:eastAsia="zh-CN"/>
              </w:rPr>
              <w:t>100%</w:t>
            </w:r>
          </w:p>
        </w:tc>
        <w:tc>
          <w:tcPr>
            <w:tcW w:w="724" w:type="pct"/>
            <w:tcBorders>
              <w:top w:val="single" w:color="auto" w:sz="4" w:space="0"/>
              <w:left w:val="single" w:color="auto" w:sz="4" w:space="0"/>
              <w:bottom w:val="single" w:color="auto" w:sz="4" w:space="0"/>
              <w:right w:val="single" w:color="auto" w:sz="4" w:space="0"/>
            </w:tcBorders>
            <w:vAlign w:val="center"/>
          </w:tcPr>
          <w:p>
            <w:pPr>
              <w:pStyle w:val="16"/>
              <w:bidi w:val="0"/>
              <w:rPr>
                <w:rFonts w:hint="default" w:eastAsia="仿宋"/>
                <w:highlight w:val="none"/>
                <w:lang w:val="en-US" w:eastAsia="zh-CN"/>
              </w:rPr>
            </w:pPr>
            <w:r>
              <w:rPr>
                <w:rFonts w:hint="eastAsia"/>
                <w:highlight w:val="none"/>
                <w:lang w:val="en-US" w:eastAsia="zh-CN"/>
              </w:rPr>
              <w:t>100%</w:t>
            </w:r>
          </w:p>
        </w:tc>
        <w:tc>
          <w:tcPr>
            <w:tcW w:w="633" w:type="pct"/>
            <w:tcBorders>
              <w:top w:val="single" w:color="auto" w:sz="4" w:space="0"/>
              <w:left w:val="single" w:color="auto" w:sz="4" w:space="0"/>
              <w:bottom w:val="single" w:color="auto" w:sz="4" w:space="0"/>
              <w:right w:val="single" w:color="auto" w:sz="4" w:space="0"/>
            </w:tcBorders>
            <w:vAlign w:val="center"/>
          </w:tcPr>
          <w:p>
            <w:pPr>
              <w:pStyle w:val="16"/>
              <w:bidi w:val="0"/>
              <w:rPr>
                <w:rFonts w:hint="default" w:eastAsia="仿宋"/>
                <w:highlight w:val="none"/>
                <w:lang w:val="en-US" w:eastAsia="zh-CN"/>
              </w:rPr>
            </w:pPr>
            <w:r>
              <w:rPr>
                <w:rFonts w:hint="eastAsia"/>
                <w:highlight w:val="none"/>
                <w:lang w:val="en-US" w:eastAsia="zh-CN"/>
              </w:rPr>
              <w:t>94.29%</w:t>
            </w:r>
          </w:p>
        </w:tc>
        <w:tc>
          <w:tcPr>
            <w:tcW w:w="641" w:type="pct"/>
            <w:tcBorders>
              <w:top w:val="single" w:color="auto" w:sz="4" w:space="0"/>
              <w:left w:val="single" w:color="auto" w:sz="4" w:space="0"/>
              <w:bottom w:val="single" w:color="auto" w:sz="4" w:space="0"/>
              <w:right w:val="single" w:color="auto" w:sz="4" w:space="0"/>
            </w:tcBorders>
            <w:vAlign w:val="center"/>
          </w:tcPr>
          <w:p>
            <w:pPr>
              <w:pStyle w:val="16"/>
              <w:bidi w:val="0"/>
              <w:rPr>
                <w:rFonts w:hint="default" w:eastAsia="仿宋"/>
                <w:highlight w:val="none"/>
                <w:lang w:val="en-US" w:eastAsia="zh-CN"/>
              </w:rPr>
            </w:pPr>
            <w:r>
              <w:rPr>
                <w:rFonts w:hint="eastAsia"/>
                <w:highlight w:val="none"/>
                <w:lang w:val="en-US"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940" w:type="pct"/>
            <w:tcBorders>
              <w:top w:val="single" w:color="auto" w:sz="4" w:space="0"/>
              <w:left w:val="single" w:color="auto" w:sz="4" w:space="0"/>
              <w:bottom w:val="single" w:color="auto" w:sz="4" w:space="0"/>
              <w:right w:val="single" w:color="auto" w:sz="4" w:space="0"/>
            </w:tcBorders>
            <w:vAlign w:val="center"/>
          </w:tcPr>
          <w:p>
            <w:pPr>
              <w:pStyle w:val="16"/>
              <w:bidi w:val="0"/>
              <w:rPr>
                <w:rFonts w:hint="eastAsia"/>
              </w:rPr>
            </w:pPr>
            <w:r>
              <w:rPr>
                <w:rFonts w:hint="eastAsia"/>
              </w:rPr>
              <w:t>得分</w:t>
            </w:r>
          </w:p>
        </w:tc>
        <w:tc>
          <w:tcPr>
            <w:tcW w:w="1012" w:type="pct"/>
            <w:tcBorders>
              <w:top w:val="single" w:color="auto" w:sz="4" w:space="0"/>
              <w:left w:val="single" w:color="auto" w:sz="4" w:space="0"/>
              <w:bottom w:val="single" w:color="auto" w:sz="4" w:space="0"/>
              <w:right w:val="single" w:color="auto" w:sz="4" w:space="0"/>
            </w:tcBorders>
            <w:vAlign w:val="center"/>
          </w:tcPr>
          <w:p>
            <w:pPr>
              <w:pStyle w:val="16"/>
              <w:bidi w:val="0"/>
              <w:rPr>
                <w:rFonts w:hint="default" w:eastAsia="仿宋"/>
                <w:highlight w:val="none"/>
                <w:lang w:val="en-US" w:eastAsia="zh-CN"/>
              </w:rPr>
            </w:pPr>
            <w:r>
              <w:rPr>
                <w:rFonts w:hint="eastAsia"/>
                <w:highlight w:val="none"/>
                <w:lang w:val="en-US" w:eastAsia="zh-CN"/>
              </w:rPr>
              <w:t>10</w:t>
            </w:r>
          </w:p>
        </w:tc>
        <w:tc>
          <w:tcPr>
            <w:tcW w:w="1047" w:type="pct"/>
            <w:tcBorders>
              <w:top w:val="single" w:color="auto" w:sz="4" w:space="0"/>
              <w:left w:val="single" w:color="auto" w:sz="4" w:space="0"/>
              <w:bottom w:val="single" w:color="auto" w:sz="4" w:space="0"/>
              <w:right w:val="single" w:color="auto" w:sz="4" w:space="0"/>
            </w:tcBorders>
            <w:vAlign w:val="center"/>
          </w:tcPr>
          <w:p>
            <w:pPr>
              <w:pStyle w:val="16"/>
              <w:bidi w:val="0"/>
              <w:rPr>
                <w:rFonts w:hint="default" w:eastAsia="仿宋"/>
                <w:highlight w:val="none"/>
                <w:lang w:val="en-US" w:eastAsia="zh-CN"/>
              </w:rPr>
            </w:pPr>
            <w:r>
              <w:rPr>
                <w:rFonts w:hint="eastAsia"/>
                <w:highlight w:val="none"/>
                <w:lang w:val="en-US" w:eastAsia="zh-CN"/>
              </w:rPr>
              <w:t>30</w:t>
            </w:r>
          </w:p>
        </w:tc>
        <w:tc>
          <w:tcPr>
            <w:tcW w:w="724" w:type="pct"/>
            <w:tcBorders>
              <w:top w:val="single" w:color="auto" w:sz="4" w:space="0"/>
              <w:left w:val="single" w:color="auto" w:sz="4" w:space="0"/>
              <w:bottom w:val="single" w:color="auto" w:sz="4" w:space="0"/>
              <w:right w:val="single" w:color="auto" w:sz="4" w:space="0"/>
            </w:tcBorders>
            <w:vAlign w:val="center"/>
          </w:tcPr>
          <w:p>
            <w:pPr>
              <w:pStyle w:val="16"/>
              <w:bidi w:val="0"/>
              <w:rPr>
                <w:rFonts w:hint="default" w:eastAsia="仿宋"/>
                <w:highlight w:val="none"/>
                <w:lang w:val="en-US" w:eastAsia="zh-CN"/>
              </w:rPr>
            </w:pPr>
            <w:r>
              <w:rPr>
                <w:rFonts w:hint="eastAsia"/>
                <w:highlight w:val="none"/>
                <w:lang w:val="en-US" w:eastAsia="zh-CN"/>
              </w:rPr>
              <w:t>25</w:t>
            </w:r>
          </w:p>
        </w:tc>
        <w:tc>
          <w:tcPr>
            <w:tcW w:w="633" w:type="pct"/>
            <w:tcBorders>
              <w:top w:val="single" w:color="auto" w:sz="4" w:space="0"/>
              <w:left w:val="single" w:color="auto" w:sz="4" w:space="0"/>
              <w:bottom w:val="single" w:color="auto" w:sz="4" w:space="0"/>
              <w:right w:val="single" w:color="auto" w:sz="4" w:space="0"/>
            </w:tcBorders>
            <w:vAlign w:val="center"/>
          </w:tcPr>
          <w:p>
            <w:pPr>
              <w:pStyle w:val="16"/>
              <w:bidi w:val="0"/>
              <w:rPr>
                <w:rFonts w:hint="default" w:eastAsia="仿宋"/>
                <w:highlight w:val="none"/>
                <w:lang w:val="en-US" w:eastAsia="zh-CN"/>
              </w:rPr>
            </w:pPr>
            <w:r>
              <w:rPr>
                <w:rFonts w:hint="eastAsia"/>
                <w:highlight w:val="none"/>
                <w:lang w:val="en-US" w:eastAsia="zh-CN"/>
              </w:rPr>
              <w:t>33</w:t>
            </w:r>
          </w:p>
        </w:tc>
        <w:tc>
          <w:tcPr>
            <w:tcW w:w="641" w:type="pct"/>
            <w:tcBorders>
              <w:top w:val="single" w:color="auto" w:sz="4" w:space="0"/>
              <w:left w:val="single" w:color="auto" w:sz="4" w:space="0"/>
              <w:bottom w:val="single" w:color="auto" w:sz="4" w:space="0"/>
              <w:right w:val="single" w:color="auto" w:sz="4" w:space="0"/>
            </w:tcBorders>
            <w:vAlign w:val="center"/>
          </w:tcPr>
          <w:p>
            <w:pPr>
              <w:pStyle w:val="16"/>
              <w:bidi w:val="0"/>
              <w:rPr>
                <w:rFonts w:hint="default" w:eastAsia="仿宋"/>
                <w:highlight w:val="none"/>
                <w:lang w:val="en-US" w:eastAsia="zh-CN"/>
              </w:rPr>
            </w:pPr>
            <w:r>
              <w:rPr>
                <w:rFonts w:hint="eastAsia"/>
                <w:highlight w:val="none"/>
                <w:lang w:val="en-US" w:eastAsia="zh-CN"/>
              </w:rPr>
              <w:t>98</w:t>
            </w:r>
          </w:p>
        </w:tc>
      </w:tr>
    </w:tbl>
    <w:p>
      <w:pPr>
        <w:pStyle w:val="17"/>
        <w:bidi w:val="0"/>
      </w:pPr>
      <w:r>
        <w:t>表3-2 各项指标得分情况表</w:t>
      </w:r>
    </w:p>
    <w:tbl>
      <w:tblPr>
        <w:tblStyle w:val="13"/>
        <w:tblW w:w="4998" w:type="pct"/>
        <w:jc w:val="center"/>
        <w:tblLayout w:type="autofit"/>
        <w:tblCellMar>
          <w:top w:w="0" w:type="dxa"/>
          <w:left w:w="108" w:type="dxa"/>
          <w:bottom w:w="0" w:type="dxa"/>
          <w:right w:w="108" w:type="dxa"/>
        </w:tblCellMar>
      </w:tblPr>
      <w:tblGrid>
        <w:gridCol w:w="1111"/>
        <w:gridCol w:w="1529"/>
        <w:gridCol w:w="2338"/>
        <w:gridCol w:w="975"/>
        <w:gridCol w:w="1241"/>
        <w:gridCol w:w="656"/>
        <w:gridCol w:w="669"/>
      </w:tblGrid>
      <w:tr>
        <w:tblPrEx>
          <w:tblCellMar>
            <w:top w:w="0" w:type="dxa"/>
            <w:left w:w="108" w:type="dxa"/>
            <w:bottom w:w="0" w:type="dxa"/>
            <w:right w:w="108" w:type="dxa"/>
          </w:tblCellMar>
        </w:tblPrEx>
        <w:trPr>
          <w:trHeight w:val="567" w:hRule="atLeast"/>
          <w:tblHeader/>
          <w:jc w:val="center"/>
        </w:trPr>
        <w:tc>
          <w:tcPr>
            <w:tcW w:w="652"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pStyle w:val="16"/>
              <w:bidi w:val="0"/>
              <w:rPr>
                <w:rFonts w:hint="eastAsia"/>
                <w:color w:val="auto"/>
                <w:highlight w:val="none"/>
              </w:rPr>
            </w:pPr>
            <w:r>
              <w:rPr>
                <w:rFonts w:hint="eastAsia"/>
                <w:color w:val="auto"/>
                <w:highlight w:val="none"/>
              </w:rPr>
              <w:t>一级指标</w:t>
            </w:r>
          </w:p>
        </w:tc>
        <w:tc>
          <w:tcPr>
            <w:tcW w:w="897"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pStyle w:val="16"/>
              <w:bidi w:val="0"/>
              <w:rPr>
                <w:rFonts w:hint="eastAsia"/>
                <w:color w:val="auto"/>
                <w:highlight w:val="none"/>
              </w:rPr>
            </w:pPr>
            <w:r>
              <w:rPr>
                <w:rFonts w:hint="eastAsia"/>
                <w:color w:val="auto"/>
                <w:highlight w:val="none"/>
              </w:rPr>
              <w:t>二级指标</w:t>
            </w:r>
          </w:p>
        </w:tc>
        <w:tc>
          <w:tcPr>
            <w:tcW w:w="1372"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pStyle w:val="16"/>
              <w:bidi w:val="0"/>
              <w:rPr>
                <w:rFonts w:hint="eastAsia"/>
                <w:color w:val="auto"/>
                <w:highlight w:val="none"/>
              </w:rPr>
            </w:pPr>
            <w:r>
              <w:rPr>
                <w:rFonts w:hint="eastAsia"/>
                <w:color w:val="auto"/>
                <w:highlight w:val="none"/>
              </w:rPr>
              <w:t>三级指标</w:t>
            </w:r>
          </w:p>
        </w:tc>
        <w:tc>
          <w:tcPr>
            <w:tcW w:w="572"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pStyle w:val="16"/>
              <w:bidi w:val="0"/>
              <w:rPr>
                <w:rFonts w:hint="eastAsia"/>
                <w:color w:val="auto"/>
                <w:highlight w:val="none"/>
              </w:rPr>
            </w:pPr>
            <w:r>
              <w:rPr>
                <w:rFonts w:hint="eastAsia"/>
                <w:color w:val="auto"/>
                <w:highlight w:val="none"/>
              </w:rPr>
              <w:t>指标值</w:t>
            </w:r>
          </w:p>
        </w:tc>
        <w:tc>
          <w:tcPr>
            <w:tcW w:w="728"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pStyle w:val="16"/>
              <w:bidi w:val="0"/>
              <w:rPr>
                <w:rFonts w:hint="eastAsia"/>
                <w:color w:val="auto"/>
                <w:highlight w:val="none"/>
              </w:rPr>
            </w:pPr>
            <w:r>
              <w:rPr>
                <w:rFonts w:hint="eastAsia"/>
                <w:color w:val="auto"/>
                <w:highlight w:val="none"/>
              </w:rPr>
              <w:t>实际完成值</w:t>
            </w:r>
          </w:p>
        </w:tc>
        <w:tc>
          <w:tcPr>
            <w:tcW w:w="385"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pStyle w:val="16"/>
              <w:bidi w:val="0"/>
              <w:rPr>
                <w:rFonts w:hint="eastAsia"/>
                <w:color w:val="auto"/>
                <w:highlight w:val="none"/>
              </w:rPr>
            </w:pPr>
            <w:r>
              <w:rPr>
                <w:rFonts w:hint="eastAsia"/>
                <w:color w:val="auto"/>
                <w:highlight w:val="none"/>
              </w:rPr>
              <w:t>分值</w:t>
            </w:r>
          </w:p>
        </w:tc>
        <w:tc>
          <w:tcPr>
            <w:tcW w:w="392"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pStyle w:val="16"/>
              <w:bidi w:val="0"/>
              <w:rPr>
                <w:rFonts w:hint="eastAsia"/>
                <w:color w:val="auto"/>
                <w:highlight w:val="none"/>
              </w:rPr>
            </w:pPr>
            <w:r>
              <w:rPr>
                <w:rFonts w:hint="eastAsia"/>
                <w:color w:val="auto"/>
                <w:highlight w:val="none"/>
              </w:rPr>
              <w:t>得分</w:t>
            </w:r>
          </w:p>
        </w:tc>
      </w:tr>
      <w:tr>
        <w:tblPrEx>
          <w:tblCellMar>
            <w:top w:w="0" w:type="dxa"/>
            <w:left w:w="108" w:type="dxa"/>
            <w:bottom w:w="0" w:type="dxa"/>
            <w:right w:w="108" w:type="dxa"/>
          </w:tblCellMar>
        </w:tblPrEx>
        <w:trPr>
          <w:trHeight w:val="567" w:hRule="atLeast"/>
          <w:jc w:val="center"/>
        </w:trPr>
        <w:tc>
          <w:tcPr>
            <w:tcW w:w="6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default" w:eastAsia="仿宋"/>
                <w:color w:val="auto"/>
                <w:highlight w:val="none"/>
                <w:lang w:val="en-US" w:eastAsia="zh-CN"/>
              </w:rPr>
            </w:pPr>
            <w:r>
              <w:rPr>
                <w:rFonts w:hint="eastAsia"/>
                <w:color w:val="auto"/>
                <w:highlight w:val="none"/>
                <w:lang w:val="en-US" w:eastAsia="zh-CN"/>
              </w:rPr>
              <w:t>预算执行率</w:t>
            </w:r>
          </w:p>
        </w:tc>
        <w:tc>
          <w:tcPr>
            <w:tcW w:w="897"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预算执行率</w:t>
            </w:r>
          </w:p>
        </w:tc>
        <w:tc>
          <w:tcPr>
            <w:tcW w:w="13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预算执行率</w:t>
            </w:r>
          </w:p>
        </w:tc>
        <w:tc>
          <w:tcPr>
            <w:tcW w:w="5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default" w:eastAsia="仿宋"/>
                <w:color w:val="auto"/>
                <w:highlight w:val="none"/>
                <w:lang w:val="en-US" w:eastAsia="zh-CN"/>
              </w:rPr>
            </w:pPr>
            <w:r>
              <w:rPr>
                <w:rFonts w:hint="eastAsia"/>
                <w:color w:val="auto"/>
                <w:highlight w:val="none"/>
                <w:lang w:val="en-US" w:eastAsia="zh-CN"/>
              </w:rPr>
              <w:t>100%</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default" w:eastAsia="仿宋"/>
                <w:color w:val="auto"/>
                <w:highlight w:val="none"/>
                <w:lang w:val="en-US" w:eastAsia="zh-CN"/>
              </w:rPr>
            </w:pPr>
            <w:r>
              <w:rPr>
                <w:rFonts w:hint="eastAsia"/>
                <w:color w:val="auto"/>
                <w:highlight w:val="none"/>
                <w:lang w:val="en-US" w:eastAsia="zh-CN"/>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default" w:eastAsia="仿宋"/>
                <w:color w:val="auto"/>
                <w:highlight w:val="none"/>
                <w:lang w:val="en-US" w:eastAsia="zh-CN"/>
              </w:rPr>
            </w:pPr>
            <w:r>
              <w:rPr>
                <w:rFonts w:hint="eastAsia"/>
                <w:color w:val="auto"/>
                <w:highlight w:val="none"/>
                <w:lang w:val="en-US" w:eastAsia="zh-CN"/>
              </w:rPr>
              <w:t>10</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default" w:eastAsia="仿宋"/>
                <w:color w:val="auto"/>
                <w:highlight w:val="none"/>
                <w:lang w:val="en-US" w:eastAsia="zh-CN"/>
              </w:rPr>
            </w:pPr>
            <w:r>
              <w:rPr>
                <w:rFonts w:hint="eastAsia"/>
                <w:color w:val="auto"/>
                <w:highlight w:val="none"/>
                <w:lang w:val="en-US" w:eastAsia="zh-CN"/>
              </w:rPr>
              <w:t>10</w:t>
            </w:r>
          </w:p>
        </w:tc>
      </w:tr>
      <w:tr>
        <w:tblPrEx>
          <w:tblCellMar>
            <w:top w:w="0" w:type="dxa"/>
            <w:left w:w="108" w:type="dxa"/>
            <w:bottom w:w="0" w:type="dxa"/>
            <w:right w:w="108" w:type="dxa"/>
          </w:tblCellMar>
        </w:tblPrEx>
        <w:trPr>
          <w:trHeight w:val="567" w:hRule="atLeast"/>
          <w:jc w:val="center"/>
        </w:trPr>
        <w:tc>
          <w:tcPr>
            <w:tcW w:w="652"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投入管理指标</w:t>
            </w:r>
          </w:p>
        </w:tc>
        <w:tc>
          <w:tcPr>
            <w:tcW w:w="897"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工作目标管理</w:t>
            </w:r>
          </w:p>
        </w:tc>
        <w:tc>
          <w:tcPr>
            <w:tcW w:w="13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年度履职目标相关性</w:t>
            </w:r>
          </w:p>
        </w:tc>
        <w:tc>
          <w:tcPr>
            <w:tcW w:w="5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相关</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相关</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default"/>
                <w:color w:val="auto"/>
                <w:highlight w:val="none"/>
                <w:lang w:val="en-US" w:eastAsia="zh-CN"/>
              </w:rPr>
              <w:t>2</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2</w:t>
            </w:r>
          </w:p>
        </w:tc>
      </w:tr>
      <w:tr>
        <w:tblPrEx>
          <w:tblCellMar>
            <w:top w:w="0" w:type="dxa"/>
            <w:left w:w="108" w:type="dxa"/>
            <w:bottom w:w="0" w:type="dxa"/>
            <w:right w:w="108" w:type="dxa"/>
          </w:tblCellMar>
        </w:tblPrEx>
        <w:trPr>
          <w:trHeight w:val="567" w:hRule="atLeast"/>
          <w:jc w:val="center"/>
        </w:trPr>
        <w:tc>
          <w:tcPr>
            <w:tcW w:w="65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13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工作任务科学性</w:t>
            </w:r>
          </w:p>
        </w:tc>
        <w:tc>
          <w:tcPr>
            <w:tcW w:w="5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科学</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科学</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default"/>
                <w:color w:val="auto"/>
                <w:highlight w:val="none"/>
                <w:lang w:val="en-US" w:eastAsia="zh-CN"/>
              </w:rPr>
              <w:t>2</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2</w:t>
            </w:r>
          </w:p>
        </w:tc>
      </w:tr>
      <w:tr>
        <w:tblPrEx>
          <w:tblCellMar>
            <w:top w:w="0" w:type="dxa"/>
            <w:left w:w="108" w:type="dxa"/>
            <w:bottom w:w="0" w:type="dxa"/>
            <w:right w:w="108" w:type="dxa"/>
          </w:tblCellMar>
        </w:tblPrEx>
        <w:trPr>
          <w:trHeight w:val="567" w:hRule="atLeast"/>
          <w:jc w:val="center"/>
        </w:trPr>
        <w:tc>
          <w:tcPr>
            <w:tcW w:w="65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13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绩效指标合理性</w:t>
            </w:r>
          </w:p>
        </w:tc>
        <w:tc>
          <w:tcPr>
            <w:tcW w:w="5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合理</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lang w:eastAsia="zh-CN"/>
              </w:rPr>
            </w:pPr>
            <w:r>
              <w:rPr>
                <w:rFonts w:hint="eastAsia"/>
                <w:color w:val="auto"/>
                <w:highlight w:val="none"/>
                <w:lang w:val="en-US" w:eastAsia="zh-CN"/>
              </w:rPr>
              <w:t>合理</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default"/>
                <w:color w:val="auto"/>
                <w:highlight w:val="none"/>
                <w:lang w:val="en-US" w:eastAsia="zh-CN"/>
              </w:rPr>
              <w:t>2</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2</w:t>
            </w:r>
          </w:p>
        </w:tc>
      </w:tr>
      <w:tr>
        <w:tblPrEx>
          <w:tblCellMar>
            <w:top w:w="0" w:type="dxa"/>
            <w:left w:w="108" w:type="dxa"/>
            <w:bottom w:w="0" w:type="dxa"/>
            <w:right w:w="108" w:type="dxa"/>
          </w:tblCellMar>
        </w:tblPrEx>
        <w:trPr>
          <w:trHeight w:val="567" w:hRule="atLeast"/>
          <w:jc w:val="center"/>
        </w:trPr>
        <w:tc>
          <w:tcPr>
            <w:tcW w:w="65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预算和财务管理</w:t>
            </w:r>
          </w:p>
        </w:tc>
        <w:tc>
          <w:tcPr>
            <w:tcW w:w="13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预算编制完整性</w:t>
            </w:r>
          </w:p>
        </w:tc>
        <w:tc>
          <w:tcPr>
            <w:tcW w:w="5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完整</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完整</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default"/>
                <w:color w:val="auto"/>
                <w:highlight w:val="none"/>
                <w:lang w:val="en-US" w:eastAsia="zh-CN"/>
              </w:rPr>
              <w:t>2</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2</w:t>
            </w:r>
          </w:p>
        </w:tc>
      </w:tr>
      <w:tr>
        <w:tblPrEx>
          <w:tblCellMar>
            <w:top w:w="0" w:type="dxa"/>
            <w:left w:w="108" w:type="dxa"/>
            <w:bottom w:w="0" w:type="dxa"/>
            <w:right w:w="108" w:type="dxa"/>
          </w:tblCellMar>
        </w:tblPrEx>
        <w:trPr>
          <w:trHeight w:val="567" w:hRule="atLeast"/>
          <w:jc w:val="center"/>
        </w:trPr>
        <w:tc>
          <w:tcPr>
            <w:tcW w:w="65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13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专项资金细化率</w:t>
            </w:r>
          </w:p>
        </w:tc>
        <w:tc>
          <w:tcPr>
            <w:tcW w:w="5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＞90%</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default"/>
                <w:color w:val="auto"/>
                <w:highlight w:val="none"/>
                <w:lang w:val="en-US" w:eastAsia="zh-CN"/>
              </w:rPr>
              <w:t>2</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2</w:t>
            </w:r>
          </w:p>
        </w:tc>
      </w:tr>
      <w:tr>
        <w:tblPrEx>
          <w:tblCellMar>
            <w:top w:w="0" w:type="dxa"/>
            <w:left w:w="108" w:type="dxa"/>
            <w:bottom w:w="0" w:type="dxa"/>
            <w:right w:w="108" w:type="dxa"/>
          </w:tblCellMar>
        </w:tblPrEx>
        <w:trPr>
          <w:trHeight w:val="567" w:hRule="atLeast"/>
          <w:jc w:val="center"/>
        </w:trPr>
        <w:tc>
          <w:tcPr>
            <w:tcW w:w="65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13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预算执行率</w:t>
            </w:r>
          </w:p>
        </w:tc>
        <w:tc>
          <w:tcPr>
            <w:tcW w:w="5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≥90%</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default" w:eastAsia="仿宋"/>
                <w:color w:val="auto"/>
                <w:highlight w:val="none"/>
                <w:lang w:val="en-US" w:eastAsia="zh-CN"/>
              </w:rPr>
            </w:pPr>
            <w:r>
              <w:rPr>
                <w:rFonts w:hint="eastAsia"/>
                <w:color w:val="auto"/>
                <w:highlight w:val="none"/>
                <w:lang w:val="en-US" w:eastAsia="zh-CN"/>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default"/>
                <w:color w:val="auto"/>
                <w:highlight w:val="none"/>
                <w:lang w:val="en-US" w:eastAsia="zh-CN"/>
              </w:rPr>
              <w:t>2</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color w:val="auto"/>
                <w:highlight w:val="none"/>
                <w:lang w:val="en-US" w:eastAsia="zh-CN"/>
              </w:rPr>
            </w:pPr>
            <w:r>
              <w:rPr>
                <w:rFonts w:hint="eastAsia"/>
                <w:color w:val="auto"/>
                <w:highlight w:val="none"/>
                <w:lang w:val="en-US" w:eastAsia="zh-CN"/>
              </w:rPr>
              <w:t>2</w:t>
            </w:r>
          </w:p>
        </w:tc>
      </w:tr>
      <w:tr>
        <w:tblPrEx>
          <w:tblCellMar>
            <w:top w:w="0" w:type="dxa"/>
            <w:left w:w="108" w:type="dxa"/>
            <w:bottom w:w="0" w:type="dxa"/>
            <w:right w:w="108" w:type="dxa"/>
          </w:tblCellMar>
        </w:tblPrEx>
        <w:trPr>
          <w:trHeight w:val="567" w:hRule="atLeast"/>
          <w:jc w:val="center"/>
        </w:trPr>
        <w:tc>
          <w:tcPr>
            <w:tcW w:w="65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13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预算调整率</w:t>
            </w:r>
          </w:p>
        </w:tc>
        <w:tc>
          <w:tcPr>
            <w:tcW w:w="5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≤20%</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default"/>
                <w:color w:val="auto"/>
                <w:highlight w:val="none"/>
                <w:lang w:val="en-US"/>
              </w:rPr>
            </w:pPr>
            <w:r>
              <w:rPr>
                <w:rFonts w:hint="eastAsia"/>
                <w:color w:val="auto"/>
                <w:highlight w:val="none"/>
                <w:lang w:val="en-US" w:eastAsia="zh-CN"/>
              </w:rPr>
              <w:t>11.40%</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default"/>
                <w:color w:val="auto"/>
                <w:highlight w:val="none"/>
                <w:lang w:val="en-US" w:eastAsia="zh-CN"/>
              </w:rPr>
              <w:t>2</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color w:val="auto"/>
                <w:highlight w:val="none"/>
                <w:lang w:val="en-US" w:eastAsia="zh-CN"/>
              </w:rPr>
            </w:pPr>
            <w:r>
              <w:rPr>
                <w:rFonts w:hint="eastAsia"/>
                <w:color w:val="auto"/>
                <w:highlight w:val="none"/>
                <w:lang w:val="en-US" w:eastAsia="zh-CN"/>
              </w:rPr>
              <w:t>2</w:t>
            </w:r>
          </w:p>
        </w:tc>
      </w:tr>
      <w:tr>
        <w:tblPrEx>
          <w:tblCellMar>
            <w:top w:w="0" w:type="dxa"/>
            <w:left w:w="108" w:type="dxa"/>
            <w:bottom w:w="0" w:type="dxa"/>
            <w:right w:w="108" w:type="dxa"/>
          </w:tblCellMar>
        </w:tblPrEx>
        <w:trPr>
          <w:trHeight w:val="567" w:hRule="atLeast"/>
          <w:jc w:val="center"/>
        </w:trPr>
        <w:tc>
          <w:tcPr>
            <w:tcW w:w="65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13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结转结余率</w:t>
            </w:r>
          </w:p>
        </w:tc>
        <w:tc>
          <w:tcPr>
            <w:tcW w:w="5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≤20%</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0</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default"/>
                <w:color w:val="auto"/>
                <w:highlight w:val="none"/>
                <w:lang w:val="en-US" w:eastAsia="zh-CN"/>
              </w:rPr>
              <w:t>1</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w:t>
            </w:r>
          </w:p>
        </w:tc>
      </w:tr>
      <w:tr>
        <w:tblPrEx>
          <w:tblCellMar>
            <w:top w:w="0" w:type="dxa"/>
            <w:left w:w="108" w:type="dxa"/>
            <w:bottom w:w="0" w:type="dxa"/>
            <w:right w:w="108" w:type="dxa"/>
          </w:tblCellMar>
        </w:tblPrEx>
        <w:trPr>
          <w:trHeight w:val="567" w:hRule="atLeast"/>
          <w:jc w:val="center"/>
        </w:trPr>
        <w:tc>
          <w:tcPr>
            <w:tcW w:w="65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13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“三公经”控制率</w:t>
            </w:r>
          </w:p>
        </w:tc>
        <w:tc>
          <w:tcPr>
            <w:tcW w:w="5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≤100%</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50.31</w:t>
            </w:r>
            <w:r>
              <w:rPr>
                <w:rFonts w:hint="default"/>
                <w:color w:val="auto"/>
                <w:highlight w:val="none"/>
                <w:lang w:val="en-US" w:eastAsia="zh-CN"/>
              </w:rPr>
              <w:t>%</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default"/>
                <w:color w:val="auto"/>
                <w:highlight w:val="none"/>
                <w:lang w:val="en-US" w:eastAsia="zh-CN"/>
              </w:rPr>
              <w:t>1</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w:t>
            </w:r>
          </w:p>
        </w:tc>
      </w:tr>
      <w:tr>
        <w:tblPrEx>
          <w:tblCellMar>
            <w:top w:w="0" w:type="dxa"/>
            <w:left w:w="108" w:type="dxa"/>
            <w:bottom w:w="0" w:type="dxa"/>
            <w:right w:w="108" w:type="dxa"/>
          </w:tblCellMar>
        </w:tblPrEx>
        <w:trPr>
          <w:trHeight w:val="567" w:hRule="atLeast"/>
          <w:jc w:val="center"/>
        </w:trPr>
        <w:tc>
          <w:tcPr>
            <w:tcW w:w="65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13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政府采购执行率</w:t>
            </w:r>
          </w:p>
        </w:tc>
        <w:tc>
          <w:tcPr>
            <w:tcW w:w="5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≥90%</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default"/>
                <w:color w:val="auto"/>
                <w:highlight w:val="none"/>
                <w:lang w:val="en-US" w:eastAsia="zh-CN"/>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default"/>
                <w:color w:val="auto"/>
                <w:highlight w:val="none"/>
                <w:lang w:val="en-US" w:eastAsia="zh-CN"/>
              </w:rPr>
              <w:t>1</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w:t>
            </w:r>
          </w:p>
        </w:tc>
      </w:tr>
      <w:tr>
        <w:tblPrEx>
          <w:tblCellMar>
            <w:top w:w="0" w:type="dxa"/>
            <w:left w:w="108" w:type="dxa"/>
            <w:bottom w:w="0" w:type="dxa"/>
            <w:right w:w="108" w:type="dxa"/>
          </w:tblCellMar>
        </w:tblPrEx>
        <w:trPr>
          <w:trHeight w:val="567" w:hRule="atLeast"/>
          <w:jc w:val="center"/>
        </w:trPr>
        <w:tc>
          <w:tcPr>
            <w:tcW w:w="65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13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决算真实性</w:t>
            </w:r>
          </w:p>
        </w:tc>
        <w:tc>
          <w:tcPr>
            <w:tcW w:w="5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真实</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真实</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default"/>
                <w:color w:val="auto"/>
                <w:highlight w:val="none"/>
                <w:lang w:val="en-US" w:eastAsia="zh-CN"/>
              </w:rPr>
              <w:t>1</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w:t>
            </w:r>
          </w:p>
        </w:tc>
      </w:tr>
      <w:tr>
        <w:tblPrEx>
          <w:tblCellMar>
            <w:top w:w="0" w:type="dxa"/>
            <w:left w:w="108" w:type="dxa"/>
            <w:bottom w:w="0" w:type="dxa"/>
            <w:right w:w="108" w:type="dxa"/>
          </w:tblCellMar>
        </w:tblPrEx>
        <w:trPr>
          <w:trHeight w:val="567" w:hRule="atLeast"/>
          <w:jc w:val="center"/>
        </w:trPr>
        <w:tc>
          <w:tcPr>
            <w:tcW w:w="65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13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资金使用合规性</w:t>
            </w:r>
          </w:p>
        </w:tc>
        <w:tc>
          <w:tcPr>
            <w:tcW w:w="5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合规</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合规</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default"/>
                <w:color w:val="auto"/>
                <w:highlight w:val="none"/>
                <w:lang w:val="en-US" w:eastAsia="zh-CN"/>
              </w:rPr>
              <w:t>2</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2</w:t>
            </w:r>
          </w:p>
        </w:tc>
      </w:tr>
      <w:tr>
        <w:tblPrEx>
          <w:tblCellMar>
            <w:top w:w="0" w:type="dxa"/>
            <w:left w:w="108" w:type="dxa"/>
            <w:bottom w:w="0" w:type="dxa"/>
            <w:right w:w="108" w:type="dxa"/>
          </w:tblCellMar>
        </w:tblPrEx>
        <w:trPr>
          <w:trHeight w:val="567" w:hRule="atLeast"/>
          <w:jc w:val="center"/>
        </w:trPr>
        <w:tc>
          <w:tcPr>
            <w:tcW w:w="65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13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管理制度健全性</w:t>
            </w:r>
          </w:p>
        </w:tc>
        <w:tc>
          <w:tcPr>
            <w:tcW w:w="5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健全</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健全</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default"/>
                <w:color w:val="auto"/>
                <w:highlight w:val="none"/>
                <w:lang w:val="en-US" w:eastAsia="zh-CN"/>
              </w:rPr>
              <w:t>1</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w:t>
            </w:r>
          </w:p>
        </w:tc>
      </w:tr>
      <w:tr>
        <w:tblPrEx>
          <w:tblCellMar>
            <w:top w:w="0" w:type="dxa"/>
            <w:left w:w="108" w:type="dxa"/>
            <w:bottom w:w="0" w:type="dxa"/>
            <w:right w:w="108" w:type="dxa"/>
          </w:tblCellMar>
        </w:tblPrEx>
        <w:trPr>
          <w:trHeight w:val="567" w:hRule="atLeast"/>
          <w:jc w:val="center"/>
        </w:trPr>
        <w:tc>
          <w:tcPr>
            <w:tcW w:w="65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13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预决算信息公幵性</w:t>
            </w:r>
          </w:p>
        </w:tc>
        <w:tc>
          <w:tcPr>
            <w:tcW w:w="5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公开</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公开</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default"/>
                <w:color w:val="auto"/>
                <w:highlight w:val="none"/>
                <w:lang w:val="en-US" w:eastAsia="zh-CN"/>
              </w:rPr>
              <w:t>1</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w:t>
            </w:r>
          </w:p>
        </w:tc>
      </w:tr>
      <w:tr>
        <w:tblPrEx>
          <w:tblCellMar>
            <w:top w:w="0" w:type="dxa"/>
            <w:left w:w="108" w:type="dxa"/>
            <w:bottom w:w="0" w:type="dxa"/>
            <w:right w:w="108" w:type="dxa"/>
          </w:tblCellMar>
        </w:tblPrEx>
        <w:trPr>
          <w:trHeight w:val="567" w:hRule="atLeast"/>
          <w:jc w:val="center"/>
        </w:trPr>
        <w:tc>
          <w:tcPr>
            <w:tcW w:w="65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13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资产管理规范性</w:t>
            </w:r>
          </w:p>
        </w:tc>
        <w:tc>
          <w:tcPr>
            <w:tcW w:w="5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规范</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规范</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default"/>
                <w:color w:val="auto"/>
                <w:highlight w:val="none"/>
                <w:lang w:val="en-US" w:eastAsia="zh-CN"/>
              </w:rPr>
              <w:t>1</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w:t>
            </w:r>
          </w:p>
        </w:tc>
      </w:tr>
      <w:tr>
        <w:tblPrEx>
          <w:tblCellMar>
            <w:top w:w="0" w:type="dxa"/>
            <w:left w:w="108" w:type="dxa"/>
            <w:bottom w:w="0" w:type="dxa"/>
            <w:right w:w="108" w:type="dxa"/>
          </w:tblCellMar>
        </w:tblPrEx>
        <w:trPr>
          <w:trHeight w:val="567" w:hRule="atLeast"/>
          <w:jc w:val="center"/>
        </w:trPr>
        <w:tc>
          <w:tcPr>
            <w:tcW w:w="65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绩效管理</w:t>
            </w:r>
          </w:p>
        </w:tc>
        <w:tc>
          <w:tcPr>
            <w:tcW w:w="13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绩效监控完成率</w:t>
            </w:r>
          </w:p>
        </w:tc>
        <w:tc>
          <w:tcPr>
            <w:tcW w:w="5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100%</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default"/>
                <w:color w:val="auto"/>
                <w:highlight w:val="none"/>
                <w:lang w:val="en-US" w:eastAsia="zh-CN"/>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default"/>
                <w:color w:val="auto"/>
                <w:highlight w:val="none"/>
                <w:lang w:val="en-US" w:eastAsia="zh-CN"/>
              </w:rPr>
              <w:t>2</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color w:val="auto"/>
                <w:highlight w:val="none"/>
                <w:lang w:val="en-US" w:eastAsia="zh-CN"/>
              </w:rPr>
            </w:pPr>
            <w:r>
              <w:rPr>
                <w:rFonts w:hint="eastAsia"/>
                <w:color w:val="auto"/>
                <w:highlight w:val="none"/>
                <w:lang w:val="en-US" w:eastAsia="zh-CN"/>
              </w:rPr>
              <w:t>2</w:t>
            </w:r>
          </w:p>
        </w:tc>
      </w:tr>
      <w:tr>
        <w:tblPrEx>
          <w:tblCellMar>
            <w:top w:w="0" w:type="dxa"/>
            <w:left w:w="108" w:type="dxa"/>
            <w:bottom w:w="0" w:type="dxa"/>
            <w:right w:w="108" w:type="dxa"/>
          </w:tblCellMar>
        </w:tblPrEx>
        <w:trPr>
          <w:trHeight w:val="567" w:hRule="atLeast"/>
          <w:jc w:val="center"/>
        </w:trPr>
        <w:tc>
          <w:tcPr>
            <w:tcW w:w="65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13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绩效自评完成率</w:t>
            </w:r>
          </w:p>
        </w:tc>
        <w:tc>
          <w:tcPr>
            <w:tcW w:w="5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100%</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default"/>
                <w:color w:val="auto"/>
                <w:highlight w:val="none"/>
                <w:lang w:val="en-US" w:eastAsia="zh-CN"/>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default"/>
                <w:color w:val="auto"/>
                <w:highlight w:val="none"/>
                <w:lang w:val="en-US" w:eastAsia="zh-CN"/>
              </w:rPr>
              <w:t>2</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color w:val="auto"/>
                <w:highlight w:val="none"/>
                <w:lang w:val="en-US" w:eastAsia="zh-CN"/>
              </w:rPr>
            </w:pPr>
            <w:r>
              <w:rPr>
                <w:rFonts w:hint="eastAsia"/>
                <w:color w:val="auto"/>
                <w:highlight w:val="none"/>
                <w:lang w:val="en-US" w:eastAsia="zh-CN"/>
              </w:rPr>
              <w:t>2</w:t>
            </w:r>
          </w:p>
        </w:tc>
      </w:tr>
      <w:tr>
        <w:tblPrEx>
          <w:tblCellMar>
            <w:top w:w="0" w:type="dxa"/>
            <w:left w:w="108" w:type="dxa"/>
            <w:bottom w:w="0" w:type="dxa"/>
            <w:right w:w="108" w:type="dxa"/>
          </w:tblCellMar>
        </w:tblPrEx>
        <w:trPr>
          <w:trHeight w:val="567" w:hRule="atLeast"/>
          <w:jc w:val="center"/>
        </w:trPr>
        <w:tc>
          <w:tcPr>
            <w:tcW w:w="65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13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部门绩效评价完成率</w:t>
            </w:r>
          </w:p>
        </w:tc>
        <w:tc>
          <w:tcPr>
            <w:tcW w:w="5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100%</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default"/>
                <w:color w:val="auto"/>
                <w:highlight w:val="none"/>
                <w:lang w:val="en-US" w:eastAsia="zh-CN"/>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default"/>
                <w:color w:val="auto"/>
                <w:highlight w:val="none"/>
                <w:lang w:val="en-US" w:eastAsia="zh-CN"/>
              </w:rPr>
              <w:t>2</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color w:val="auto"/>
                <w:highlight w:val="none"/>
                <w:lang w:val="en-US" w:eastAsia="zh-CN"/>
              </w:rPr>
            </w:pPr>
            <w:r>
              <w:rPr>
                <w:rFonts w:hint="eastAsia"/>
                <w:color w:val="auto"/>
                <w:highlight w:val="none"/>
                <w:lang w:val="en-US" w:eastAsia="zh-CN"/>
              </w:rPr>
              <w:t>2</w:t>
            </w:r>
          </w:p>
        </w:tc>
      </w:tr>
      <w:tr>
        <w:tblPrEx>
          <w:tblCellMar>
            <w:top w:w="0" w:type="dxa"/>
            <w:left w:w="108" w:type="dxa"/>
            <w:bottom w:w="0" w:type="dxa"/>
            <w:right w:w="108" w:type="dxa"/>
          </w:tblCellMar>
        </w:tblPrEx>
        <w:trPr>
          <w:trHeight w:val="90" w:hRule="atLeast"/>
          <w:jc w:val="center"/>
        </w:trPr>
        <w:tc>
          <w:tcPr>
            <w:tcW w:w="65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13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评价结果应用率</w:t>
            </w:r>
          </w:p>
        </w:tc>
        <w:tc>
          <w:tcPr>
            <w:tcW w:w="5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100%</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lang w:val="en-US" w:eastAsia="zh-CN"/>
              </w:rPr>
            </w:pPr>
            <w:r>
              <w:rPr>
                <w:rFonts w:hint="default"/>
                <w:color w:val="auto"/>
                <w:highlight w:val="none"/>
                <w:lang w:val="en-US" w:eastAsia="zh-CN"/>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default"/>
                <w:color w:val="auto"/>
                <w:highlight w:val="none"/>
                <w:lang w:val="en-US" w:eastAsia="zh-CN"/>
              </w:rPr>
              <w:t>1</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color w:val="auto"/>
                <w:highlight w:val="none"/>
                <w:lang w:val="en-US" w:eastAsia="zh-CN"/>
              </w:rPr>
            </w:pPr>
            <w:r>
              <w:rPr>
                <w:rFonts w:hint="eastAsia"/>
                <w:color w:val="auto"/>
                <w:highlight w:val="none"/>
                <w:lang w:val="en-US" w:eastAsia="zh-CN"/>
              </w:rPr>
              <w:t>1</w:t>
            </w:r>
          </w:p>
        </w:tc>
      </w:tr>
      <w:tr>
        <w:tblPrEx>
          <w:tblCellMar>
            <w:top w:w="0" w:type="dxa"/>
            <w:left w:w="108" w:type="dxa"/>
            <w:bottom w:w="0" w:type="dxa"/>
            <w:right w:w="108" w:type="dxa"/>
          </w:tblCellMar>
        </w:tblPrEx>
        <w:trPr>
          <w:trHeight w:val="567" w:hRule="atLeast"/>
          <w:jc w:val="center"/>
        </w:trPr>
        <w:tc>
          <w:tcPr>
            <w:tcW w:w="652" w:type="pct"/>
            <w:vMerge w:val="restart"/>
            <w:tcBorders>
              <w:top w:val="single" w:color="000000" w:sz="4" w:space="0"/>
              <w:left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产出指标</w:t>
            </w:r>
          </w:p>
        </w:tc>
        <w:tc>
          <w:tcPr>
            <w:tcW w:w="897" w:type="pct"/>
            <w:vMerge w:val="restart"/>
            <w:tcBorders>
              <w:top w:val="single" w:color="000000" w:sz="4" w:space="0"/>
              <w:left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重点工作任务完成</w:t>
            </w:r>
          </w:p>
        </w:tc>
        <w:tc>
          <w:tcPr>
            <w:tcW w:w="23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统战特需活动完成率</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100%</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2</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2</w:t>
            </w:r>
          </w:p>
        </w:tc>
      </w:tr>
      <w:tr>
        <w:tblPrEx>
          <w:tblCellMar>
            <w:top w:w="0" w:type="dxa"/>
            <w:left w:w="108" w:type="dxa"/>
            <w:bottom w:w="0" w:type="dxa"/>
            <w:right w:w="108" w:type="dxa"/>
          </w:tblCellMar>
        </w:tblPrEx>
        <w:trPr>
          <w:trHeight w:val="567" w:hRule="atLeast"/>
          <w:jc w:val="center"/>
        </w:trPr>
        <w:tc>
          <w:tcPr>
            <w:tcW w:w="652" w:type="pct"/>
            <w:vMerge w:val="continue"/>
            <w:tcBorders>
              <w:left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left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23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推动宗教治理由治标向治本深化完成率</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100%</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lang w:eastAsia="zh-CN"/>
              </w:rPr>
            </w:pPr>
            <w:r>
              <w:rPr>
                <w:rFonts w:hint="default"/>
                <w:color w:val="auto"/>
                <w:highlight w:val="none"/>
                <w:lang w:val="en-US" w:eastAsia="zh-CN"/>
              </w:rPr>
              <w:t>2</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2</w:t>
            </w:r>
          </w:p>
        </w:tc>
      </w:tr>
      <w:tr>
        <w:tblPrEx>
          <w:tblCellMar>
            <w:top w:w="0" w:type="dxa"/>
            <w:left w:w="108" w:type="dxa"/>
            <w:bottom w:w="0" w:type="dxa"/>
            <w:right w:w="108" w:type="dxa"/>
          </w:tblCellMar>
        </w:tblPrEx>
        <w:trPr>
          <w:trHeight w:val="567" w:hRule="atLeast"/>
          <w:jc w:val="center"/>
        </w:trPr>
        <w:tc>
          <w:tcPr>
            <w:tcW w:w="652" w:type="pct"/>
            <w:vMerge w:val="continue"/>
            <w:tcBorders>
              <w:left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left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23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提升多党合作制度效能完成率</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100%</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2</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2</w:t>
            </w:r>
          </w:p>
        </w:tc>
      </w:tr>
      <w:tr>
        <w:tblPrEx>
          <w:tblCellMar>
            <w:top w:w="0" w:type="dxa"/>
            <w:left w:w="108" w:type="dxa"/>
            <w:bottom w:w="0" w:type="dxa"/>
            <w:right w:w="108" w:type="dxa"/>
          </w:tblCellMar>
        </w:tblPrEx>
        <w:trPr>
          <w:trHeight w:val="567" w:hRule="atLeast"/>
          <w:jc w:val="center"/>
        </w:trPr>
        <w:tc>
          <w:tcPr>
            <w:tcW w:w="652" w:type="pct"/>
            <w:vMerge w:val="continue"/>
            <w:tcBorders>
              <w:left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left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23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加强无党派人士、党外知识分子和新的社会阶层人士统战工作完成率</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100%</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default"/>
                <w:color w:val="auto"/>
                <w:highlight w:val="none"/>
                <w:lang w:val="en-US" w:eastAsia="zh-CN"/>
              </w:rPr>
              <w:t>2</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2</w:t>
            </w:r>
          </w:p>
        </w:tc>
      </w:tr>
      <w:tr>
        <w:tblPrEx>
          <w:tblCellMar>
            <w:top w:w="0" w:type="dxa"/>
            <w:left w:w="108" w:type="dxa"/>
            <w:bottom w:w="0" w:type="dxa"/>
            <w:right w:w="108" w:type="dxa"/>
          </w:tblCellMar>
        </w:tblPrEx>
        <w:trPr>
          <w:trHeight w:val="567" w:hRule="atLeast"/>
          <w:jc w:val="center"/>
        </w:trPr>
        <w:tc>
          <w:tcPr>
            <w:tcW w:w="652" w:type="pct"/>
            <w:vMerge w:val="continue"/>
            <w:tcBorders>
              <w:left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23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加强港澳台统战工作完成率</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100%</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2</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2</w:t>
            </w:r>
          </w:p>
        </w:tc>
      </w:tr>
      <w:tr>
        <w:tblPrEx>
          <w:tblCellMar>
            <w:top w:w="0" w:type="dxa"/>
            <w:left w:w="108" w:type="dxa"/>
            <w:bottom w:w="0" w:type="dxa"/>
            <w:right w:w="108" w:type="dxa"/>
          </w:tblCellMar>
        </w:tblPrEx>
        <w:trPr>
          <w:trHeight w:val="567" w:hRule="atLeast"/>
          <w:jc w:val="center"/>
        </w:trPr>
        <w:tc>
          <w:tcPr>
            <w:tcW w:w="652" w:type="pct"/>
            <w:vMerge w:val="continue"/>
            <w:tcBorders>
              <w:left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23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加强海外统战工作和侨务工完成率</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100%</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2</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2</w:t>
            </w:r>
          </w:p>
        </w:tc>
      </w:tr>
      <w:tr>
        <w:tblPrEx>
          <w:tblCellMar>
            <w:top w:w="0" w:type="dxa"/>
            <w:left w:w="108" w:type="dxa"/>
            <w:bottom w:w="0" w:type="dxa"/>
            <w:right w:w="108" w:type="dxa"/>
          </w:tblCellMar>
        </w:tblPrEx>
        <w:trPr>
          <w:trHeight w:val="567" w:hRule="atLeast"/>
          <w:jc w:val="center"/>
        </w:trPr>
        <w:tc>
          <w:tcPr>
            <w:tcW w:w="652" w:type="pct"/>
            <w:vMerge w:val="continue"/>
            <w:tcBorders>
              <w:left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left w:val="single" w:color="000000" w:sz="4" w:space="0"/>
              <w:bottom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23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提升党外代表人士队伍建设完成率</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100%</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default"/>
                <w:color w:val="auto"/>
                <w:highlight w:val="none"/>
                <w:lang w:val="en-US" w:eastAsia="zh-CN"/>
              </w:rPr>
              <w:t>2</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2</w:t>
            </w:r>
          </w:p>
        </w:tc>
      </w:tr>
      <w:tr>
        <w:tblPrEx>
          <w:tblCellMar>
            <w:top w:w="0" w:type="dxa"/>
            <w:left w:w="108" w:type="dxa"/>
            <w:bottom w:w="0" w:type="dxa"/>
            <w:right w:w="108" w:type="dxa"/>
          </w:tblCellMar>
        </w:tblPrEx>
        <w:trPr>
          <w:trHeight w:val="567" w:hRule="atLeast"/>
          <w:jc w:val="center"/>
        </w:trPr>
        <w:tc>
          <w:tcPr>
            <w:tcW w:w="652" w:type="pct"/>
            <w:vMerge w:val="continue"/>
            <w:tcBorders>
              <w:left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restart"/>
            <w:tcBorders>
              <w:top w:val="single" w:color="000000" w:sz="4" w:space="0"/>
              <w:left w:val="single" w:color="000000" w:sz="4" w:space="0"/>
              <w:right w:val="single" w:color="000000" w:sz="4" w:space="0"/>
            </w:tcBorders>
            <w:shd w:val="clear" w:color="auto" w:fill="FFFFFF"/>
            <w:vAlign w:val="center"/>
          </w:tcPr>
          <w:p>
            <w:pPr>
              <w:pStyle w:val="16"/>
              <w:bidi w:val="0"/>
              <w:rPr>
                <w:rFonts w:hint="eastAsia"/>
                <w:color w:val="auto"/>
                <w:highlight w:val="none"/>
              </w:rPr>
            </w:pPr>
            <w:r>
              <w:rPr>
                <w:rFonts w:hint="eastAsia"/>
                <w:color w:val="auto"/>
                <w:highlight w:val="none"/>
              </w:rPr>
              <w:t>履职目标实现</w:t>
            </w:r>
          </w:p>
        </w:tc>
        <w:tc>
          <w:tcPr>
            <w:tcW w:w="23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围绕中心大局凝心聚力目标实现率</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100%</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2</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2</w:t>
            </w:r>
          </w:p>
        </w:tc>
      </w:tr>
      <w:tr>
        <w:tblPrEx>
          <w:tblCellMar>
            <w:top w:w="0" w:type="dxa"/>
            <w:left w:w="108" w:type="dxa"/>
            <w:bottom w:w="0" w:type="dxa"/>
            <w:right w:w="108" w:type="dxa"/>
          </w:tblCellMar>
        </w:tblPrEx>
        <w:trPr>
          <w:trHeight w:val="567" w:hRule="atLeast"/>
          <w:jc w:val="center"/>
        </w:trPr>
        <w:tc>
          <w:tcPr>
            <w:tcW w:w="652" w:type="pct"/>
            <w:vMerge w:val="continue"/>
            <w:tcBorders>
              <w:left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left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23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中国共产党成立100周年活动目标实现率</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100%</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lang w:eastAsia="zh-CN"/>
              </w:rPr>
            </w:pPr>
            <w:r>
              <w:rPr>
                <w:rFonts w:hint="eastAsia"/>
                <w:color w:val="auto"/>
                <w:highlight w:val="none"/>
                <w:lang w:val="en-US" w:eastAsia="zh-CN"/>
              </w:rPr>
              <w:t>2</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2</w:t>
            </w:r>
          </w:p>
        </w:tc>
      </w:tr>
      <w:tr>
        <w:tblPrEx>
          <w:tblCellMar>
            <w:top w:w="0" w:type="dxa"/>
            <w:left w:w="108" w:type="dxa"/>
            <w:bottom w:w="0" w:type="dxa"/>
            <w:right w:w="108" w:type="dxa"/>
          </w:tblCellMar>
        </w:tblPrEx>
        <w:trPr>
          <w:trHeight w:val="567" w:hRule="atLeast"/>
          <w:jc w:val="center"/>
        </w:trPr>
        <w:tc>
          <w:tcPr>
            <w:tcW w:w="652" w:type="pct"/>
            <w:vMerge w:val="continue"/>
            <w:tcBorders>
              <w:left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left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23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推动宗教治理由治标向治本深化目标实现率</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100%</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color w:val="auto"/>
                <w:highlight w:val="none"/>
                <w:lang w:val="en-US" w:eastAsia="zh-CN"/>
              </w:rPr>
            </w:pPr>
            <w:r>
              <w:rPr>
                <w:rFonts w:hint="eastAsia"/>
                <w:color w:val="auto"/>
                <w:highlight w:val="none"/>
                <w:lang w:val="en-US" w:eastAsia="zh-CN"/>
              </w:rPr>
              <w:t>2</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color w:val="auto"/>
                <w:highlight w:val="none"/>
                <w:lang w:val="en-US" w:eastAsia="zh-CN"/>
              </w:rPr>
            </w:pPr>
            <w:r>
              <w:rPr>
                <w:rFonts w:hint="eastAsia"/>
                <w:color w:val="auto"/>
                <w:highlight w:val="none"/>
                <w:lang w:val="en-US" w:eastAsia="zh-CN"/>
              </w:rPr>
              <w:t>2</w:t>
            </w:r>
          </w:p>
        </w:tc>
      </w:tr>
      <w:tr>
        <w:tblPrEx>
          <w:tblCellMar>
            <w:top w:w="0" w:type="dxa"/>
            <w:left w:w="108" w:type="dxa"/>
            <w:bottom w:w="0" w:type="dxa"/>
            <w:right w:w="108" w:type="dxa"/>
          </w:tblCellMar>
        </w:tblPrEx>
        <w:trPr>
          <w:trHeight w:val="567" w:hRule="atLeast"/>
          <w:jc w:val="center"/>
        </w:trPr>
        <w:tc>
          <w:tcPr>
            <w:tcW w:w="652" w:type="pct"/>
            <w:vMerge w:val="continue"/>
            <w:tcBorders>
              <w:left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left w:val="single" w:color="000000" w:sz="4" w:space="0"/>
              <w:right w:val="single" w:color="000000" w:sz="4" w:space="0"/>
            </w:tcBorders>
            <w:shd w:val="clear" w:color="auto" w:fill="FFFFFF"/>
            <w:vAlign w:val="center"/>
          </w:tcPr>
          <w:p>
            <w:pPr>
              <w:pStyle w:val="16"/>
              <w:bidi w:val="0"/>
              <w:rPr>
                <w:rFonts w:hint="eastAsia"/>
                <w:color w:val="auto"/>
                <w:highlight w:val="none"/>
              </w:rPr>
            </w:pPr>
          </w:p>
        </w:tc>
        <w:tc>
          <w:tcPr>
            <w:tcW w:w="23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提升多党合作制度效能目标实现率</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100%</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w:t>
            </w:r>
          </w:p>
        </w:tc>
        <w:tc>
          <w:tcPr>
            <w:tcW w:w="39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w:t>
            </w:r>
          </w:p>
        </w:tc>
      </w:tr>
      <w:tr>
        <w:tblPrEx>
          <w:tblCellMar>
            <w:top w:w="0" w:type="dxa"/>
            <w:left w:w="108" w:type="dxa"/>
            <w:bottom w:w="0" w:type="dxa"/>
            <w:right w:w="108" w:type="dxa"/>
          </w:tblCellMar>
        </w:tblPrEx>
        <w:trPr>
          <w:trHeight w:val="567" w:hRule="atLeast"/>
          <w:jc w:val="center"/>
        </w:trPr>
        <w:tc>
          <w:tcPr>
            <w:tcW w:w="652" w:type="pct"/>
            <w:vMerge w:val="continue"/>
            <w:tcBorders>
              <w:left w:val="single" w:color="000000" w:sz="4" w:space="0"/>
              <w:bottom w:val="single" w:color="auto"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left w:val="single" w:color="000000" w:sz="4" w:space="0"/>
              <w:bottom w:val="single" w:color="auto" w:sz="4" w:space="0"/>
              <w:right w:val="single" w:color="000000" w:sz="4" w:space="0"/>
            </w:tcBorders>
            <w:shd w:val="clear" w:color="auto" w:fill="FFFFFF"/>
            <w:vAlign w:val="center"/>
          </w:tcPr>
          <w:p>
            <w:pPr>
              <w:pStyle w:val="16"/>
              <w:bidi w:val="0"/>
              <w:rPr>
                <w:rFonts w:hint="eastAsia"/>
                <w:color w:val="auto"/>
                <w:highlight w:val="none"/>
              </w:rPr>
            </w:pPr>
          </w:p>
        </w:tc>
        <w:tc>
          <w:tcPr>
            <w:tcW w:w="2338" w:type="dxa"/>
            <w:tcBorders>
              <w:top w:val="single" w:color="000000" w:sz="4" w:space="0"/>
              <w:left w:val="single" w:color="000000" w:sz="4" w:space="0"/>
              <w:bottom w:val="single" w:color="auto"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加强无党派人士、党外知识分子和新的社会阶层人士统战工作目标实现率</w:t>
            </w:r>
          </w:p>
        </w:tc>
        <w:tc>
          <w:tcPr>
            <w:tcW w:w="975" w:type="dxa"/>
            <w:tcBorders>
              <w:top w:val="single" w:color="000000" w:sz="4" w:space="0"/>
              <w:left w:val="single" w:color="000000" w:sz="4" w:space="0"/>
              <w:bottom w:val="single" w:color="auto"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100%</w:t>
            </w:r>
          </w:p>
        </w:tc>
        <w:tc>
          <w:tcPr>
            <w:tcW w:w="728"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100%</w:t>
            </w:r>
          </w:p>
        </w:tc>
        <w:tc>
          <w:tcPr>
            <w:tcW w:w="385"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w:t>
            </w:r>
          </w:p>
        </w:tc>
        <w:tc>
          <w:tcPr>
            <w:tcW w:w="392"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w:t>
            </w:r>
          </w:p>
        </w:tc>
      </w:tr>
      <w:tr>
        <w:tblPrEx>
          <w:tblCellMar>
            <w:top w:w="0" w:type="dxa"/>
            <w:left w:w="108" w:type="dxa"/>
            <w:bottom w:w="0" w:type="dxa"/>
            <w:right w:w="108" w:type="dxa"/>
          </w:tblCellMar>
        </w:tblPrEx>
        <w:trPr>
          <w:trHeight w:val="567" w:hRule="atLeast"/>
          <w:jc w:val="center"/>
        </w:trPr>
        <w:tc>
          <w:tcPr>
            <w:tcW w:w="652" w:type="pct"/>
            <w:vMerge w:val="continue"/>
            <w:tcBorders>
              <w:left w:val="single" w:color="000000" w:sz="4" w:space="0"/>
              <w:bottom w:val="single" w:color="auto"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left w:val="single" w:color="000000" w:sz="4" w:space="0"/>
              <w:bottom w:val="single" w:color="auto" w:sz="4" w:space="0"/>
              <w:right w:val="single" w:color="000000" w:sz="4" w:space="0"/>
            </w:tcBorders>
            <w:shd w:val="clear" w:color="auto" w:fill="FFFFFF"/>
            <w:vAlign w:val="center"/>
          </w:tcPr>
          <w:p>
            <w:pPr>
              <w:pStyle w:val="16"/>
              <w:bidi w:val="0"/>
              <w:rPr>
                <w:rFonts w:hint="eastAsia"/>
                <w:color w:val="auto"/>
                <w:highlight w:val="none"/>
              </w:rPr>
            </w:pPr>
          </w:p>
        </w:tc>
        <w:tc>
          <w:tcPr>
            <w:tcW w:w="2338" w:type="dxa"/>
            <w:tcBorders>
              <w:top w:val="single" w:color="000000" w:sz="4" w:space="0"/>
              <w:left w:val="single" w:color="000000" w:sz="4" w:space="0"/>
              <w:bottom w:val="single" w:color="auto"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加强港澳台统战工作目标实现率</w:t>
            </w:r>
          </w:p>
        </w:tc>
        <w:tc>
          <w:tcPr>
            <w:tcW w:w="975" w:type="dxa"/>
            <w:tcBorders>
              <w:top w:val="single" w:color="000000" w:sz="4" w:space="0"/>
              <w:left w:val="single" w:color="000000" w:sz="4" w:space="0"/>
              <w:bottom w:val="single" w:color="auto"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100%</w:t>
            </w:r>
          </w:p>
        </w:tc>
        <w:tc>
          <w:tcPr>
            <w:tcW w:w="728"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100%</w:t>
            </w:r>
          </w:p>
        </w:tc>
        <w:tc>
          <w:tcPr>
            <w:tcW w:w="385"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w:t>
            </w:r>
          </w:p>
        </w:tc>
        <w:tc>
          <w:tcPr>
            <w:tcW w:w="392"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w:t>
            </w:r>
          </w:p>
        </w:tc>
      </w:tr>
      <w:tr>
        <w:tblPrEx>
          <w:tblCellMar>
            <w:top w:w="0" w:type="dxa"/>
            <w:left w:w="108" w:type="dxa"/>
            <w:bottom w:w="0" w:type="dxa"/>
            <w:right w:w="108" w:type="dxa"/>
          </w:tblCellMar>
        </w:tblPrEx>
        <w:trPr>
          <w:trHeight w:val="567" w:hRule="atLeast"/>
          <w:jc w:val="center"/>
        </w:trPr>
        <w:tc>
          <w:tcPr>
            <w:tcW w:w="652" w:type="pct"/>
            <w:vMerge w:val="continue"/>
            <w:tcBorders>
              <w:left w:val="single" w:color="000000" w:sz="4" w:space="0"/>
              <w:bottom w:val="single" w:color="auto"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left w:val="single" w:color="000000" w:sz="4" w:space="0"/>
              <w:bottom w:val="single" w:color="auto" w:sz="4" w:space="0"/>
              <w:right w:val="single" w:color="000000" w:sz="4" w:space="0"/>
            </w:tcBorders>
            <w:shd w:val="clear" w:color="auto" w:fill="FFFFFF"/>
            <w:vAlign w:val="center"/>
          </w:tcPr>
          <w:p>
            <w:pPr>
              <w:pStyle w:val="16"/>
              <w:bidi w:val="0"/>
              <w:rPr>
                <w:rFonts w:hint="eastAsia"/>
                <w:color w:val="auto"/>
                <w:highlight w:val="none"/>
              </w:rPr>
            </w:pPr>
          </w:p>
        </w:tc>
        <w:tc>
          <w:tcPr>
            <w:tcW w:w="2338" w:type="dxa"/>
            <w:tcBorders>
              <w:top w:val="single" w:color="000000" w:sz="4" w:space="0"/>
              <w:left w:val="single" w:color="000000" w:sz="4" w:space="0"/>
              <w:bottom w:val="single" w:color="auto"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加强海外统战工作和侨务工作目标实现率</w:t>
            </w:r>
          </w:p>
        </w:tc>
        <w:tc>
          <w:tcPr>
            <w:tcW w:w="975" w:type="dxa"/>
            <w:tcBorders>
              <w:top w:val="single" w:color="000000" w:sz="4" w:space="0"/>
              <w:left w:val="single" w:color="000000" w:sz="4" w:space="0"/>
              <w:bottom w:val="single" w:color="auto"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100%</w:t>
            </w:r>
          </w:p>
        </w:tc>
        <w:tc>
          <w:tcPr>
            <w:tcW w:w="728"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100%</w:t>
            </w:r>
          </w:p>
        </w:tc>
        <w:tc>
          <w:tcPr>
            <w:tcW w:w="385"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w:t>
            </w:r>
          </w:p>
        </w:tc>
        <w:tc>
          <w:tcPr>
            <w:tcW w:w="392"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w:t>
            </w:r>
          </w:p>
        </w:tc>
      </w:tr>
      <w:tr>
        <w:tblPrEx>
          <w:tblCellMar>
            <w:top w:w="0" w:type="dxa"/>
            <w:left w:w="108" w:type="dxa"/>
            <w:bottom w:w="0" w:type="dxa"/>
            <w:right w:w="108" w:type="dxa"/>
          </w:tblCellMar>
        </w:tblPrEx>
        <w:trPr>
          <w:trHeight w:val="567" w:hRule="atLeast"/>
          <w:jc w:val="center"/>
        </w:trPr>
        <w:tc>
          <w:tcPr>
            <w:tcW w:w="652" w:type="pct"/>
            <w:vMerge w:val="continue"/>
            <w:tcBorders>
              <w:left w:val="single" w:color="000000" w:sz="4" w:space="0"/>
              <w:bottom w:val="single" w:color="auto" w:sz="4" w:space="0"/>
              <w:right w:val="single" w:color="000000" w:sz="4" w:space="0"/>
            </w:tcBorders>
            <w:shd w:val="clear" w:color="auto" w:fill="FFFFFF"/>
            <w:vAlign w:val="center"/>
          </w:tcPr>
          <w:p>
            <w:pPr>
              <w:pStyle w:val="16"/>
              <w:bidi w:val="0"/>
              <w:rPr>
                <w:rFonts w:hint="eastAsia"/>
                <w:color w:val="auto"/>
                <w:highlight w:val="none"/>
              </w:rPr>
            </w:pPr>
          </w:p>
        </w:tc>
        <w:tc>
          <w:tcPr>
            <w:tcW w:w="897" w:type="pct"/>
            <w:vMerge w:val="continue"/>
            <w:tcBorders>
              <w:left w:val="single" w:color="000000" w:sz="4" w:space="0"/>
              <w:bottom w:val="single" w:color="auto" w:sz="4" w:space="0"/>
              <w:right w:val="single" w:color="000000" w:sz="4" w:space="0"/>
            </w:tcBorders>
            <w:shd w:val="clear" w:color="auto" w:fill="FFFFFF"/>
            <w:vAlign w:val="center"/>
          </w:tcPr>
          <w:p>
            <w:pPr>
              <w:pStyle w:val="16"/>
              <w:bidi w:val="0"/>
              <w:rPr>
                <w:rFonts w:hint="eastAsia"/>
                <w:color w:val="auto"/>
                <w:highlight w:val="none"/>
              </w:rPr>
            </w:pPr>
          </w:p>
        </w:tc>
        <w:tc>
          <w:tcPr>
            <w:tcW w:w="2338" w:type="dxa"/>
            <w:tcBorders>
              <w:top w:val="single" w:color="000000" w:sz="4" w:space="0"/>
              <w:left w:val="single" w:color="000000" w:sz="4" w:space="0"/>
              <w:bottom w:val="single" w:color="auto"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提升党外代表人士队伍建设目标实现率</w:t>
            </w:r>
          </w:p>
        </w:tc>
        <w:tc>
          <w:tcPr>
            <w:tcW w:w="975" w:type="dxa"/>
            <w:tcBorders>
              <w:top w:val="single" w:color="000000" w:sz="4" w:space="0"/>
              <w:left w:val="single" w:color="000000" w:sz="4" w:space="0"/>
              <w:bottom w:val="single" w:color="auto"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ascii="Times New Roman" w:hAnsi="Times New Roman"/>
                <w:highlight w:val="none"/>
                <w:lang w:val="en-US" w:eastAsia="zh-CN"/>
              </w:rPr>
              <w:t>100%</w:t>
            </w:r>
          </w:p>
        </w:tc>
        <w:tc>
          <w:tcPr>
            <w:tcW w:w="728"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100%</w:t>
            </w:r>
          </w:p>
        </w:tc>
        <w:tc>
          <w:tcPr>
            <w:tcW w:w="385"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w:t>
            </w:r>
          </w:p>
        </w:tc>
        <w:tc>
          <w:tcPr>
            <w:tcW w:w="392"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1</w:t>
            </w:r>
          </w:p>
        </w:tc>
      </w:tr>
      <w:tr>
        <w:tblPrEx>
          <w:tblCellMar>
            <w:top w:w="0" w:type="dxa"/>
            <w:left w:w="108" w:type="dxa"/>
            <w:bottom w:w="0" w:type="dxa"/>
            <w:right w:w="108" w:type="dxa"/>
          </w:tblCellMar>
        </w:tblPrEx>
        <w:trPr>
          <w:trHeight w:val="92" w:hRule="atLeast"/>
          <w:jc w:val="center"/>
        </w:trPr>
        <w:tc>
          <w:tcPr>
            <w:tcW w:w="652" w:type="pct"/>
            <w:vMerge w:val="restart"/>
            <w:tcBorders>
              <w:top w:val="single" w:color="auto" w:sz="4" w:space="0"/>
              <w:left w:val="single" w:color="auto" w:sz="4" w:space="0"/>
              <w:right w:val="single" w:color="auto" w:sz="4" w:space="0"/>
            </w:tcBorders>
            <w:shd w:val="clear" w:color="auto" w:fill="FFFFFF"/>
            <w:vAlign w:val="center"/>
          </w:tcPr>
          <w:p>
            <w:pPr>
              <w:pStyle w:val="16"/>
              <w:bidi w:val="0"/>
              <w:rPr>
                <w:rFonts w:hint="eastAsia"/>
                <w:color w:val="auto"/>
                <w:highlight w:val="none"/>
              </w:rPr>
            </w:pPr>
            <w:r>
              <w:rPr>
                <w:rFonts w:hint="eastAsia"/>
                <w:color w:val="auto"/>
                <w:highlight w:val="none"/>
              </w:rPr>
              <w:t>效益指标</w:t>
            </w:r>
          </w:p>
        </w:tc>
        <w:tc>
          <w:tcPr>
            <w:tcW w:w="897" w:type="pct"/>
            <w:vMerge w:val="restart"/>
            <w:tcBorders>
              <w:top w:val="single" w:color="auto" w:sz="4" w:space="0"/>
              <w:left w:val="single" w:color="auto" w:sz="4" w:space="0"/>
              <w:right w:val="single" w:color="auto" w:sz="4" w:space="0"/>
            </w:tcBorders>
            <w:shd w:val="clear" w:color="auto" w:fill="FFFFFF"/>
            <w:vAlign w:val="center"/>
          </w:tcPr>
          <w:p>
            <w:pPr>
              <w:pStyle w:val="16"/>
              <w:bidi w:val="0"/>
              <w:rPr>
                <w:rFonts w:hint="eastAsia"/>
                <w:color w:val="auto"/>
                <w:highlight w:val="none"/>
              </w:rPr>
            </w:pPr>
            <w:r>
              <w:rPr>
                <w:rFonts w:hint="eastAsia"/>
                <w:color w:val="auto"/>
                <w:highlight w:val="none"/>
              </w:rPr>
              <w:t>社会效益</w:t>
            </w:r>
          </w:p>
        </w:tc>
        <w:tc>
          <w:tcPr>
            <w:tcW w:w="1372"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促进两岸关系更好的发展</w:t>
            </w:r>
          </w:p>
        </w:tc>
        <w:tc>
          <w:tcPr>
            <w:tcW w:w="572"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促进</w:t>
            </w:r>
          </w:p>
        </w:tc>
        <w:tc>
          <w:tcPr>
            <w:tcW w:w="72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rPr>
                <w:rFonts w:hint="eastAsia"/>
                <w:color w:val="auto"/>
                <w:highlight w:val="none"/>
              </w:rPr>
            </w:pPr>
            <w:r>
              <w:rPr>
                <w:rFonts w:hint="eastAsia"/>
                <w:color w:val="auto"/>
                <w:highlight w:val="none"/>
                <w:lang w:val="en-US" w:eastAsia="zh-CN"/>
              </w:rPr>
              <w:t>100%</w:t>
            </w:r>
          </w:p>
        </w:tc>
        <w:tc>
          <w:tcPr>
            <w:tcW w:w="385"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4</w:t>
            </w:r>
          </w:p>
        </w:tc>
        <w:tc>
          <w:tcPr>
            <w:tcW w:w="392"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4</w:t>
            </w:r>
          </w:p>
        </w:tc>
      </w:tr>
      <w:tr>
        <w:tblPrEx>
          <w:tblCellMar>
            <w:top w:w="0" w:type="dxa"/>
            <w:left w:w="108" w:type="dxa"/>
            <w:bottom w:w="0" w:type="dxa"/>
            <w:right w:w="108" w:type="dxa"/>
          </w:tblCellMar>
        </w:tblPrEx>
        <w:trPr>
          <w:trHeight w:val="92" w:hRule="atLeast"/>
          <w:jc w:val="center"/>
        </w:trPr>
        <w:tc>
          <w:tcPr>
            <w:tcW w:w="652" w:type="pct"/>
            <w:vMerge w:val="continue"/>
            <w:tcBorders>
              <w:left w:val="single" w:color="auto" w:sz="4" w:space="0"/>
              <w:right w:val="single" w:color="auto" w:sz="4" w:space="0"/>
            </w:tcBorders>
            <w:shd w:val="clear" w:color="auto" w:fill="FFFFFF"/>
            <w:vAlign w:val="center"/>
          </w:tcPr>
          <w:p>
            <w:pPr>
              <w:pStyle w:val="16"/>
              <w:bidi w:val="0"/>
              <w:rPr>
                <w:color w:val="auto"/>
                <w:highlight w:val="none"/>
              </w:rPr>
            </w:pPr>
          </w:p>
        </w:tc>
        <w:tc>
          <w:tcPr>
            <w:tcW w:w="897" w:type="pct"/>
            <w:vMerge w:val="continue"/>
            <w:tcBorders>
              <w:left w:val="single" w:color="auto" w:sz="4" w:space="0"/>
              <w:right w:val="single" w:color="auto" w:sz="4" w:space="0"/>
            </w:tcBorders>
            <w:shd w:val="clear" w:color="auto" w:fill="FFFFFF"/>
            <w:vAlign w:val="center"/>
          </w:tcPr>
          <w:p>
            <w:pPr>
              <w:pStyle w:val="16"/>
              <w:bidi w:val="0"/>
              <w:rPr>
                <w:color w:val="auto"/>
                <w:highlight w:val="none"/>
              </w:rPr>
            </w:pPr>
          </w:p>
        </w:tc>
        <w:tc>
          <w:tcPr>
            <w:tcW w:w="1372"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促进民族宗教领域和谐稳定</w:t>
            </w:r>
          </w:p>
        </w:tc>
        <w:tc>
          <w:tcPr>
            <w:tcW w:w="572"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促进</w:t>
            </w:r>
          </w:p>
        </w:tc>
        <w:tc>
          <w:tcPr>
            <w:tcW w:w="72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rPr>
                <w:rFonts w:hint="eastAsia"/>
                <w:color w:val="auto"/>
                <w:highlight w:val="none"/>
              </w:rPr>
            </w:pPr>
            <w:r>
              <w:rPr>
                <w:rFonts w:hint="eastAsia"/>
                <w:color w:val="auto"/>
                <w:highlight w:val="none"/>
                <w:lang w:val="en-US" w:eastAsia="zh-CN"/>
              </w:rPr>
              <w:t>100%</w:t>
            </w:r>
          </w:p>
        </w:tc>
        <w:tc>
          <w:tcPr>
            <w:tcW w:w="385"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4</w:t>
            </w:r>
          </w:p>
        </w:tc>
        <w:tc>
          <w:tcPr>
            <w:tcW w:w="392"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4</w:t>
            </w:r>
          </w:p>
        </w:tc>
      </w:tr>
      <w:tr>
        <w:tblPrEx>
          <w:tblCellMar>
            <w:top w:w="0" w:type="dxa"/>
            <w:left w:w="108" w:type="dxa"/>
            <w:bottom w:w="0" w:type="dxa"/>
            <w:right w:w="108" w:type="dxa"/>
          </w:tblCellMar>
        </w:tblPrEx>
        <w:trPr>
          <w:trHeight w:val="92" w:hRule="atLeast"/>
          <w:jc w:val="center"/>
        </w:trPr>
        <w:tc>
          <w:tcPr>
            <w:tcW w:w="652" w:type="pct"/>
            <w:vMerge w:val="continue"/>
            <w:tcBorders>
              <w:left w:val="single" w:color="auto" w:sz="4" w:space="0"/>
              <w:right w:val="single" w:color="auto" w:sz="4" w:space="0"/>
            </w:tcBorders>
            <w:shd w:val="clear" w:color="auto" w:fill="FFFFFF"/>
            <w:vAlign w:val="center"/>
          </w:tcPr>
          <w:p>
            <w:pPr>
              <w:pStyle w:val="16"/>
              <w:bidi w:val="0"/>
              <w:rPr>
                <w:rFonts w:hint="eastAsia"/>
                <w:color w:val="auto"/>
                <w:highlight w:val="none"/>
              </w:rPr>
            </w:pPr>
          </w:p>
        </w:tc>
        <w:tc>
          <w:tcPr>
            <w:tcW w:w="897" w:type="pct"/>
            <w:vMerge w:val="continue"/>
            <w:tcBorders>
              <w:left w:val="single" w:color="auto" w:sz="4" w:space="0"/>
              <w:right w:val="single" w:color="auto" w:sz="4" w:space="0"/>
            </w:tcBorders>
            <w:shd w:val="clear" w:color="auto" w:fill="FFFFFF"/>
            <w:vAlign w:val="center"/>
          </w:tcPr>
          <w:p>
            <w:pPr>
              <w:pStyle w:val="16"/>
              <w:bidi w:val="0"/>
              <w:rPr>
                <w:rFonts w:hint="eastAsia"/>
                <w:color w:val="auto"/>
                <w:highlight w:val="none"/>
              </w:rPr>
            </w:pPr>
          </w:p>
        </w:tc>
        <w:tc>
          <w:tcPr>
            <w:tcW w:w="1372"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加强理论学习，提高新的社会阶层人士思想认识</w:t>
            </w:r>
          </w:p>
        </w:tc>
        <w:tc>
          <w:tcPr>
            <w:tcW w:w="572"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提高</w:t>
            </w:r>
          </w:p>
        </w:tc>
        <w:tc>
          <w:tcPr>
            <w:tcW w:w="72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rPr>
                <w:rFonts w:hint="eastAsia"/>
                <w:color w:val="auto"/>
                <w:highlight w:val="none"/>
              </w:rPr>
            </w:pPr>
            <w:r>
              <w:rPr>
                <w:rFonts w:hint="eastAsia"/>
                <w:color w:val="auto"/>
                <w:highlight w:val="none"/>
                <w:lang w:val="en-US" w:eastAsia="zh-CN"/>
              </w:rPr>
              <w:t>75%</w:t>
            </w:r>
          </w:p>
        </w:tc>
        <w:tc>
          <w:tcPr>
            <w:tcW w:w="385"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4</w:t>
            </w:r>
          </w:p>
        </w:tc>
        <w:tc>
          <w:tcPr>
            <w:tcW w:w="392"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ind w:firstLine="0" w:firstLineChars="0"/>
              <w:rPr>
                <w:rFonts w:hint="eastAsia" w:eastAsia="仿宋"/>
                <w:color w:val="auto"/>
                <w:highlight w:val="none"/>
                <w:lang w:val="en-US" w:eastAsia="zh-CN"/>
              </w:rPr>
            </w:pPr>
            <w:r>
              <w:rPr>
                <w:rFonts w:hint="eastAsia"/>
                <w:color w:val="auto"/>
                <w:highlight w:val="none"/>
                <w:lang w:val="en-US" w:eastAsia="zh-CN"/>
              </w:rPr>
              <w:t>3</w:t>
            </w:r>
          </w:p>
        </w:tc>
      </w:tr>
      <w:tr>
        <w:tblPrEx>
          <w:tblCellMar>
            <w:top w:w="0" w:type="dxa"/>
            <w:left w:w="108" w:type="dxa"/>
            <w:bottom w:w="0" w:type="dxa"/>
            <w:right w:w="108" w:type="dxa"/>
          </w:tblCellMar>
        </w:tblPrEx>
        <w:trPr>
          <w:trHeight w:val="92" w:hRule="atLeast"/>
          <w:jc w:val="center"/>
        </w:trPr>
        <w:tc>
          <w:tcPr>
            <w:tcW w:w="652" w:type="pct"/>
            <w:vMerge w:val="continue"/>
            <w:tcBorders>
              <w:left w:val="single" w:color="auto" w:sz="4" w:space="0"/>
              <w:right w:val="single" w:color="auto" w:sz="4" w:space="0"/>
            </w:tcBorders>
            <w:shd w:val="clear" w:color="auto" w:fill="FFFFFF"/>
            <w:vAlign w:val="center"/>
          </w:tcPr>
          <w:p>
            <w:pPr>
              <w:pStyle w:val="16"/>
              <w:bidi w:val="0"/>
              <w:rPr>
                <w:rFonts w:hint="eastAsia"/>
                <w:color w:val="auto"/>
                <w:highlight w:val="none"/>
              </w:rPr>
            </w:pPr>
          </w:p>
        </w:tc>
        <w:tc>
          <w:tcPr>
            <w:tcW w:w="897" w:type="pct"/>
            <w:vMerge w:val="continue"/>
            <w:tcBorders>
              <w:left w:val="single" w:color="auto" w:sz="4" w:space="0"/>
              <w:right w:val="single" w:color="auto" w:sz="4" w:space="0"/>
            </w:tcBorders>
            <w:shd w:val="clear" w:color="auto" w:fill="FFFFFF"/>
            <w:vAlign w:val="center"/>
          </w:tcPr>
          <w:p>
            <w:pPr>
              <w:pStyle w:val="16"/>
              <w:bidi w:val="0"/>
              <w:rPr>
                <w:rFonts w:hint="eastAsia"/>
                <w:color w:val="auto"/>
                <w:highlight w:val="none"/>
              </w:rPr>
            </w:pPr>
          </w:p>
        </w:tc>
        <w:tc>
          <w:tcPr>
            <w:tcW w:w="1372"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强化干部政治意识，加强统战干部队伍建设</w:t>
            </w:r>
          </w:p>
        </w:tc>
        <w:tc>
          <w:tcPr>
            <w:tcW w:w="572"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加强</w:t>
            </w:r>
          </w:p>
        </w:tc>
        <w:tc>
          <w:tcPr>
            <w:tcW w:w="72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rPr>
                <w:rFonts w:hint="eastAsia"/>
                <w:color w:val="auto"/>
                <w:highlight w:val="none"/>
              </w:rPr>
            </w:pPr>
            <w:r>
              <w:rPr>
                <w:rFonts w:hint="eastAsia"/>
                <w:color w:val="auto"/>
                <w:highlight w:val="none"/>
                <w:lang w:val="en-US" w:eastAsia="zh-CN"/>
              </w:rPr>
              <w:t>75%</w:t>
            </w:r>
          </w:p>
        </w:tc>
        <w:tc>
          <w:tcPr>
            <w:tcW w:w="385"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4</w:t>
            </w:r>
          </w:p>
        </w:tc>
        <w:tc>
          <w:tcPr>
            <w:tcW w:w="392"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ind w:firstLine="0" w:firstLineChars="0"/>
              <w:rPr>
                <w:rFonts w:hint="eastAsia" w:eastAsia="仿宋"/>
                <w:color w:val="auto"/>
                <w:highlight w:val="none"/>
                <w:lang w:val="en-US" w:eastAsia="zh-CN"/>
              </w:rPr>
            </w:pPr>
            <w:r>
              <w:rPr>
                <w:rFonts w:hint="eastAsia"/>
                <w:color w:val="auto"/>
                <w:highlight w:val="none"/>
                <w:lang w:val="en-US" w:eastAsia="zh-CN"/>
              </w:rPr>
              <w:t>3</w:t>
            </w:r>
          </w:p>
        </w:tc>
      </w:tr>
      <w:tr>
        <w:tblPrEx>
          <w:tblCellMar>
            <w:top w:w="0" w:type="dxa"/>
            <w:left w:w="108" w:type="dxa"/>
            <w:bottom w:w="0" w:type="dxa"/>
            <w:right w:w="108" w:type="dxa"/>
          </w:tblCellMar>
        </w:tblPrEx>
        <w:trPr>
          <w:trHeight w:val="92" w:hRule="atLeast"/>
          <w:jc w:val="center"/>
        </w:trPr>
        <w:tc>
          <w:tcPr>
            <w:tcW w:w="652" w:type="pct"/>
            <w:vMerge w:val="continue"/>
            <w:tcBorders>
              <w:left w:val="single" w:color="auto" w:sz="4" w:space="0"/>
              <w:right w:val="single" w:color="auto" w:sz="4" w:space="0"/>
            </w:tcBorders>
            <w:shd w:val="clear" w:color="auto" w:fill="FFFFFF"/>
            <w:vAlign w:val="center"/>
          </w:tcPr>
          <w:p>
            <w:pPr>
              <w:pStyle w:val="16"/>
              <w:bidi w:val="0"/>
              <w:rPr>
                <w:rFonts w:hint="eastAsia"/>
                <w:color w:val="auto"/>
                <w:highlight w:val="none"/>
              </w:rPr>
            </w:pPr>
          </w:p>
        </w:tc>
        <w:tc>
          <w:tcPr>
            <w:tcW w:w="897" w:type="pct"/>
            <w:vMerge w:val="continue"/>
            <w:tcBorders>
              <w:left w:val="single" w:color="auto" w:sz="4" w:space="0"/>
              <w:right w:val="single" w:color="auto" w:sz="4" w:space="0"/>
            </w:tcBorders>
            <w:shd w:val="clear" w:color="auto" w:fill="FFFFFF"/>
            <w:vAlign w:val="center"/>
          </w:tcPr>
          <w:p>
            <w:pPr>
              <w:pStyle w:val="16"/>
              <w:bidi w:val="0"/>
              <w:rPr>
                <w:rFonts w:hint="eastAsia"/>
                <w:color w:val="auto"/>
                <w:highlight w:val="none"/>
              </w:rPr>
            </w:pPr>
          </w:p>
        </w:tc>
        <w:tc>
          <w:tcPr>
            <w:tcW w:w="1372"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围绕中心服务大局，凝心聚力</w:t>
            </w:r>
          </w:p>
        </w:tc>
        <w:tc>
          <w:tcPr>
            <w:tcW w:w="572"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加强</w:t>
            </w:r>
          </w:p>
        </w:tc>
        <w:tc>
          <w:tcPr>
            <w:tcW w:w="72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rPr>
                <w:rFonts w:hint="eastAsia"/>
                <w:color w:val="auto"/>
                <w:highlight w:val="none"/>
              </w:rPr>
            </w:pPr>
            <w:r>
              <w:rPr>
                <w:rFonts w:hint="eastAsia"/>
                <w:color w:val="auto"/>
                <w:highlight w:val="none"/>
                <w:lang w:val="en-US" w:eastAsia="zh-CN"/>
              </w:rPr>
              <w:t>100%</w:t>
            </w:r>
          </w:p>
        </w:tc>
        <w:tc>
          <w:tcPr>
            <w:tcW w:w="385"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4</w:t>
            </w:r>
          </w:p>
        </w:tc>
        <w:tc>
          <w:tcPr>
            <w:tcW w:w="392"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4</w:t>
            </w:r>
          </w:p>
        </w:tc>
      </w:tr>
      <w:tr>
        <w:tblPrEx>
          <w:tblCellMar>
            <w:top w:w="0" w:type="dxa"/>
            <w:left w:w="108" w:type="dxa"/>
            <w:bottom w:w="0" w:type="dxa"/>
            <w:right w:w="108" w:type="dxa"/>
          </w:tblCellMar>
        </w:tblPrEx>
        <w:trPr>
          <w:trHeight w:val="92" w:hRule="atLeast"/>
          <w:jc w:val="center"/>
        </w:trPr>
        <w:tc>
          <w:tcPr>
            <w:tcW w:w="652" w:type="pct"/>
            <w:vMerge w:val="continue"/>
            <w:tcBorders>
              <w:left w:val="single" w:color="auto" w:sz="4" w:space="0"/>
              <w:bottom w:val="single" w:color="auto" w:sz="4" w:space="0"/>
              <w:right w:val="single" w:color="auto" w:sz="4" w:space="0"/>
            </w:tcBorders>
            <w:shd w:val="clear" w:color="auto" w:fill="FFFFFF"/>
            <w:vAlign w:val="center"/>
          </w:tcPr>
          <w:p>
            <w:pPr>
              <w:pStyle w:val="16"/>
              <w:bidi w:val="0"/>
              <w:rPr>
                <w:rFonts w:hint="eastAsia"/>
                <w:color w:val="auto"/>
                <w:highlight w:val="none"/>
              </w:rPr>
            </w:pPr>
          </w:p>
        </w:tc>
        <w:tc>
          <w:tcPr>
            <w:tcW w:w="897" w:type="pct"/>
            <w:vMerge w:val="continue"/>
            <w:tcBorders>
              <w:left w:val="single" w:color="auto" w:sz="4" w:space="0"/>
              <w:bottom w:val="single" w:color="auto" w:sz="4" w:space="0"/>
              <w:right w:val="single" w:color="auto" w:sz="4" w:space="0"/>
            </w:tcBorders>
            <w:shd w:val="clear" w:color="auto" w:fill="FFFFFF"/>
            <w:vAlign w:val="center"/>
          </w:tcPr>
          <w:p>
            <w:pPr>
              <w:pStyle w:val="16"/>
              <w:bidi w:val="0"/>
              <w:rPr>
                <w:rFonts w:hint="eastAsia"/>
                <w:color w:val="auto"/>
                <w:highlight w:val="none"/>
              </w:rPr>
            </w:pPr>
          </w:p>
        </w:tc>
        <w:tc>
          <w:tcPr>
            <w:tcW w:w="1372"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让广大海外侨胞了解祖国的发展成就，提升海外侨胞的爱国意识</w:t>
            </w:r>
          </w:p>
        </w:tc>
        <w:tc>
          <w:tcPr>
            <w:tcW w:w="572"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提升</w:t>
            </w:r>
          </w:p>
        </w:tc>
        <w:tc>
          <w:tcPr>
            <w:tcW w:w="72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rPr>
                <w:rFonts w:hint="eastAsia"/>
                <w:color w:val="auto"/>
                <w:highlight w:val="none"/>
              </w:rPr>
            </w:pPr>
            <w:r>
              <w:rPr>
                <w:rFonts w:hint="eastAsia"/>
                <w:color w:val="auto"/>
                <w:highlight w:val="none"/>
                <w:lang w:val="en-US" w:eastAsia="zh-CN"/>
              </w:rPr>
              <w:t>100%</w:t>
            </w:r>
          </w:p>
        </w:tc>
        <w:tc>
          <w:tcPr>
            <w:tcW w:w="385"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5</w:t>
            </w:r>
          </w:p>
        </w:tc>
        <w:tc>
          <w:tcPr>
            <w:tcW w:w="392"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5</w:t>
            </w:r>
          </w:p>
        </w:tc>
      </w:tr>
      <w:tr>
        <w:tblPrEx>
          <w:tblCellMar>
            <w:top w:w="0" w:type="dxa"/>
            <w:left w:w="108" w:type="dxa"/>
            <w:bottom w:w="0" w:type="dxa"/>
            <w:right w:w="108" w:type="dxa"/>
          </w:tblCellMar>
        </w:tblPrEx>
        <w:trPr>
          <w:trHeight w:val="567" w:hRule="atLeast"/>
          <w:jc w:val="center"/>
        </w:trPr>
        <w:tc>
          <w:tcPr>
            <w:tcW w:w="65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rPr>
                <w:rFonts w:hint="eastAsia"/>
                <w:color w:val="auto"/>
                <w:highlight w:val="none"/>
              </w:rPr>
            </w:pPr>
          </w:p>
        </w:tc>
        <w:tc>
          <w:tcPr>
            <w:tcW w:w="897"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rPr>
                <w:rFonts w:hint="default" w:eastAsia="仿宋"/>
                <w:color w:val="auto"/>
                <w:highlight w:val="none"/>
                <w:lang w:val="en-US" w:eastAsia="zh-CN"/>
              </w:rPr>
            </w:pPr>
            <w:r>
              <w:rPr>
                <w:rFonts w:hint="eastAsia"/>
                <w:color w:val="auto"/>
                <w:highlight w:val="none"/>
                <w:lang w:val="en-US" w:eastAsia="zh-CN"/>
              </w:rPr>
              <w:t>满意度</w:t>
            </w:r>
          </w:p>
        </w:tc>
        <w:tc>
          <w:tcPr>
            <w:tcW w:w="1372"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rPr>
              <w:t>群众满意度</w:t>
            </w:r>
          </w:p>
        </w:tc>
        <w:tc>
          <w:tcPr>
            <w:tcW w:w="572"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ind w:firstLine="0" w:firstLineChars="0"/>
              <w:rPr>
                <w:rFonts w:hint="eastAsia"/>
                <w:color w:val="auto"/>
                <w:highlight w:val="none"/>
              </w:rPr>
            </w:pPr>
            <w:r>
              <w:rPr>
                <w:rFonts w:hint="eastAsia"/>
                <w:color w:val="auto"/>
                <w:highlight w:val="none"/>
                <w:lang w:val="en-US" w:eastAsia="zh-CN"/>
              </w:rPr>
              <w:t>≥90%</w:t>
            </w:r>
          </w:p>
        </w:tc>
        <w:tc>
          <w:tcPr>
            <w:tcW w:w="72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rPr>
                <w:rFonts w:hint="default" w:eastAsia="仿宋"/>
                <w:color w:val="auto"/>
                <w:highlight w:val="none"/>
                <w:lang w:val="en-US" w:eastAsia="zh-CN"/>
              </w:rPr>
            </w:pPr>
            <w:r>
              <w:rPr>
                <w:rFonts w:hint="eastAsia"/>
                <w:color w:val="auto"/>
                <w:highlight w:val="none"/>
                <w:lang w:val="en-US" w:eastAsia="zh-CN"/>
              </w:rPr>
              <w:t>98%</w:t>
            </w:r>
          </w:p>
        </w:tc>
        <w:tc>
          <w:tcPr>
            <w:tcW w:w="385"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rPr>
                <w:rFonts w:hint="default" w:eastAsia="仿宋"/>
                <w:color w:val="auto"/>
                <w:highlight w:val="none"/>
                <w:lang w:val="en-US" w:eastAsia="zh-CN"/>
              </w:rPr>
            </w:pPr>
            <w:r>
              <w:rPr>
                <w:rFonts w:hint="eastAsia"/>
                <w:color w:val="auto"/>
                <w:highlight w:val="none"/>
                <w:lang w:val="en-US" w:eastAsia="zh-CN"/>
              </w:rPr>
              <w:t>10</w:t>
            </w:r>
          </w:p>
        </w:tc>
        <w:tc>
          <w:tcPr>
            <w:tcW w:w="392"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rPr>
                <w:rFonts w:hint="default" w:eastAsia="仿宋"/>
                <w:color w:val="auto"/>
                <w:highlight w:val="none"/>
                <w:lang w:val="en-US" w:eastAsia="zh-CN"/>
              </w:rPr>
            </w:pPr>
            <w:r>
              <w:rPr>
                <w:rFonts w:hint="eastAsia"/>
                <w:color w:val="auto"/>
                <w:highlight w:val="none"/>
                <w:lang w:val="en-US" w:eastAsia="zh-CN"/>
              </w:rPr>
              <w:t>10</w:t>
            </w:r>
          </w:p>
        </w:tc>
      </w:tr>
      <w:tr>
        <w:tblPrEx>
          <w:tblCellMar>
            <w:top w:w="0" w:type="dxa"/>
            <w:left w:w="108" w:type="dxa"/>
            <w:bottom w:w="0" w:type="dxa"/>
            <w:right w:w="108" w:type="dxa"/>
          </w:tblCellMar>
        </w:tblPrEx>
        <w:trPr>
          <w:trHeight w:val="567" w:hRule="atLeast"/>
          <w:jc w:val="center"/>
        </w:trPr>
        <w:tc>
          <w:tcPr>
            <w:tcW w:w="2921" w:type="pct"/>
            <w:gridSpan w:val="3"/>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rPr>
                <w:rFonts w:hint="eastAsia" w:eastAsia="仿宋"/>
                <w:color w:val="auto"/>
                <w:highlight w:val="none"/>
                <w:lang w:val="en-US" w:eastAsia="zh-CN"/>
              </w:rPr>
            </w:pPr>
            <w:r>
              <w:rPr>
                <w:rFonts w:hint="eastAsia"/>
                <w:color w:val="auto"/>
                <w:highlight w:val="none"/>
                <w:lang w:val="en-US" w:eastAsia="zh-CN"/>
              </w:rPr>
              <w:t>合计</w:t>
            </w:r>
          </w:p>
        </w:tc>
        <w:tc>
          <w:tcPr>
            <w:tcW w:w="572"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rPr>
                <w:rFonts w:hint="eastAsia"/>
                <w:color w:val="auto"/>
                <w:highlight w:val="none"/>
              </w:rPr>
            </w:pPr>
          </w:p>
        </w:tc>
        <w:tc>
          <w:tcPr>
            <w:tcW w:w="728"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rPr>
                <w:rFonts w:hint="eastAsia"/>
                <w:color w:val="auto"/>
                <w:highlight w:val="none"/>
              </w:rPr>
            </w:pPr>
          </w:p>
        </w:tc>
        <w:tc>
          <w:tcPr>
            <w:tcW w:w="385"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rPr>
                <w:rFonts w:hint="default" w:eastAsia="仿宋"/>
                <w:color w:val="auto"/>
                <w:highlight w:val="none"/>
                <w:lang w:val="en-US" w:eastAsia="zh-CN"/>
              </w:rPr>
            </w:pPr>
            <w:r>
              <w:rPr>
                <w:rFonts w:hint="eastAsia"/>
                <w:color w:val="auto"/>
                <w:highlight w:val="none"/>
                <w:lang w:val="en-US" w:eastAsia="zh-CN"/>
              </w:rPr>
              <w:t>100</w:t>
            </w:r>
          </w:p>
        </w:tc>
        <w:tc>
          <w:tcPr>
            <w:tcW w:w="392" w:type="pct"/>
            <w:tcBorders>
              <w:top w:val="single" w:color="auto" w:sz="4" w:space="0"/>
              <w:left w:val="single" w:color="auto" w:sz="4" w:space="0"/>
              <w:bottom w:val="single" w:color="auto" w:sz="4" w:space="0"/>
              <w:right w:val="single" w:color="auto" w:sz="4" w:space="0"/>
            </w:tcBorders>
            <w:shd w:val="clear" w:color="auto" w:fill="FFFFFF"/>
            <w:vAlign w:val="center"/>
          </w:tcPr>
          <w:p>
            <w:pPr>
              <w:pStyle w:val="16"/>
              <w:bidi w:val="0"/>
              <w:rPr>
                <w:rFonts w:hint="default" w:eastAsia="仿宋"/>
                <w:color w:val="auto"/>
                <w:highlight w:val="none"/>
                <w:lang w:val="en-US" w:eastAsia="zh-CN"/>
              </w:rPr>
            </w:pPr>
            <w:r>
              <w:rPr>
                <w:rFonts w:hint="eastAsia"/>
                <w:color w:val="auto"/>
                <w:highlight w:val="none"/>
                <w:lang w:val="en-US" w:eastAsia="zh-CN"/>
              </w:rPr>
              <w:t>98</w:t>
            </w:r>
          </w:p>
        </w:tc>
      </w:tr>
    </w:tbl>
    <w:p>
      <w:pPr>
        <w:pStyle w:val="2"/>
        <w:bidi w:val="0"/>
        <w:rPr>
          <w:color w:val="auto"/>
        </w:rPr>
      </w:pPr>
      <w:r>
        <w:rPr>
          <w:rFonts w:hint="eastAsia"/>
          <w:color w:val="auto"/>
        </w:rPr>
        <w:br w:type="page"/>
      </w:r>
      <w:bookmarkStart w:id="20" w:name="_Toc1639"/>
      <w:r>
        <w:rPr>
          <w:rFonts w:hint="eastAsia"/>
          <w:color w:val="auto"/>
        </w:rPr>
        <w:t>四、</w:t>
      </w:r>
      <w:r>
        <w:rPr>
          <w:color w:val="auto"/>
        </w:rPr>
        <w:t>绩效目标实现情况分析</w:t>
      </w:r>
      <w:bookmarkEnd w:id="20"/>
    </w:p>
    <w:p>
      <w:pPr>
        <w:pStyle w:val="3"/>
        <w:bidi w:val="0"/>
      </w:pPr>
      <w:bookmarkStart w:id="21" w:name="_Toc27496"/>
      <w:r>
        <w:rPr>
          <w:rFonts w:hint="eastAsia"/>
          <w:lang w:eastAsia="zh-CN"/>
        </w:rPr>
        <w:t>（</w:t>
      </w:r>
      <w:r>
        <w:t>一</w:t>
      </w:r>
      <w:r>
        <w:rPr>
          <w:rFonts w:hint="eastAsia"/>
          <w:lang w:eastAsia="zh-CN"/>
        </w:rPr>
        <w:t>）</w:t>
      </w:r>
      <w:r>
        <w:t>部门资金情况分析</w:t>
      </w:r>
      <w:bookmarkEnd w:id="21"/>
    </w:p>
    <w:p>
      <w:pPr>
        <w:pStyle w:val="4"/>
        <w:bidi w:val="0"/>
      </w:pPr>
      <w:r>
        <w:rPr>
          <w:rFonts w:hint="eastAsia"/>
        </w:rPr>
        <w:t>1.资金到位情况与资金执行情况</w:t>
      </w:r>
    </w:p>
    <w:p>
      <w:pPr>
        <w:pStyle w:val="20"/>
        <w:bidi w:val="0"/>
        <w:jc w:val="both"/>
        <w:rPr>
          <w:rFonts w:hint="eastAsia"/>
          <w:lang w:eastAsia="zh-CN"/>
        </w:rPr>
      </w:pPr>
      <w:r>
        <w:rPr>
          <w:highlight w:val="none"/>
        </w:rPr>
        <w:t>我</w:t>
      </w:r>
      <w:r>
        <w:rPr>
          <w:rFonts w:hint="eastAsia"/>
          <w:highlight w:val="none"/>
        </w:rPr>
        <w:t>单位</w:t>
      </w:r>
      <w:r>
        <w:rPr>
          <w:rFonts w:hint="eastAsia"/>
          <w:highlight w:val="none"/>
          <w:lang w:eastAsia="zh-CN"/>
        </w:rPr>
        <w:t>2021</w:t>
      </w:r>
      <w:r>
        <w:rPr>
          <w:highlight w:val="none"/>
        </w:rPr>
        <w:t>年年初预算资金</w:t>
      </w:r>
      <w:r>
        <w:rPr>
          <w:rFonts w:hint="eastAsia"/>
          <w:highlight w:val="none"/>
          <w:lang w:val="en-US" w:eastAsia="zh-CN"/>
        </w:rPr>
        <w:t>929.45</w:t>
      </w:r>
      <w:r>
        <w:rPr>
          <w:highlight w:val="none"/>
        </w:rPr>
        <w:t>万元；经年中调整，增加预算资金</w:t>
      </w:r>
      <w:r>
        <w:rPr>
          <w:rFonts w:hint="eastAsia"/>
          <w:highlight w:val="none"/>
          <w:lang w:val="en-US" w:eastAsia="zh-CN"/>
        </w:rPr>
        <w:t>105.92</w:t>
      </w:r>
      <w:r>
        <w:rPr>
          <w:highlight w:val="none"/>
        </w:rPr>
        <w:t>万元；全年预算资金总额</w:t>
      </w:r>
      <w:r>
        <w:rPr>
          <w:rFonts w:hint="eastAsia"/>
          <w:highlight w:val="none"/>
          <w:lang w:val="en-US" w:eastAsia="zh-CN"/>
        </w:rPr>
        <w:t>1035.36</w:t>
      </w:r>
      <w:r>
        <w:rPr>
          <w:highlight w:val="none"/>
        </w:rPr>
        <w:t>万元。全年实际执行数为</w:t>
      </w:r>
      <w:r>
        <w:rPr>
          <w:rFonts w:hint="eastAsia"/>
          <w:color w:val="auto"/>
          <w:highlight w:val="none"/>
          <w:lang w:val="en-US" w:eastAsia="zh-CN"/>
        </w:rPr>
        <w:t>1035.36</w:t>
      </w:r>
      <w:r>
        <w:rPr>
          <w:highlight w:val="none"/>
        </w:rPr>
        <w:t>万元，预算执行率为</w:t>
      </w:r>
      <w:r>
        <w:rPr>
          <w:rFonts w:hint="eastAsia"/>
          <w:color w:val="auto"/>
          <w:highlight w:val="none"/>
          <w:lang w:val="en-US" w:eastAsia="zh-CN"/>
        </w:rPr>
        <w:t>100%</w:t>
      </w:r>
      <w:r>
        <w:rPr>
          <w:highlight w:val="none"/>
        </w:rPr>
        <w:t>。具体情况详见表</w:t>
      </w:r>
      <w:r>
        <w:rPr>
          <w:rFonts w:hint="eastAsia"/>
          <w:highlight w:val="none"/>
        </w:rPr>
        <w:t>4</w:t>
      </w:r>
      <w:r>
        <w:rPr>
          <w:highlight w:val="none"/>
        </w:rPr>
        <w:t>-</w:t>
      </w:r>
      <w:r>
        <w:rPr>
          <w:rFonts w:hint="eastAsia"/>
          <w:highlight w:val="none"/>
        </w:rPr>
        <w:t>1</w:t>
      </w:r>
      <w:r>
        <w:rPr>
          <w:rFonts w:hint="eastAsia"/>
          <w:lang w:eastAsia="zh-CN"/>
        </w:rPr>
        <w:t>。</w:t>
      </w:r>
    </w:p>
    <w:p>
      <w:pPr>
        <w:pStyle w:val="20"/>
        <w:bidi w:val="0"/>
        <w:sectPr>
          <w:footerReference r:id="rId6" w:type="default"/>
          <w:pgSz w:w="11906" w:h="16838"/>
          <w:pgMar w:top="1440" w:right="1800" w:bottom="1440" w:left="1800" w:header="851" w:footer="737" w:gutter="0"/>
          <w:pgBorders>
            <w:top w:val="none" w:sz="0" w:space="0"/>
            <w:left w:val="none" w:sz="0" w:space="0"/>
            <w:bottom w:val="none" w:sz="0" w:space="0"/>
            <w:right w:val="none" w:sz="0" w:space="0"/>
          </w:pgBorders>
          <w:pgNumType w:fmt="decimal" w:start="1"/>
          <w:cols w:space="425" w:num="1"/>
          <w:docGrid w:type="lines" w:linePitch="312" w:charSpace="0"/>
        </w:sectPr>
      </w:pPr>
    </w:p>
    <w:p>
      <w:pPr>
        <w:pStyle w:val="17"/>
        <w:bidi w:val="0"/>
        <w:rPr>
          <w:rFonts w:hint="eastAsia" w:eastAsia="仿宋"/>
          <w:highlight w:val="none"/>
          <w:lang w:eastAsia="zh-CN"/>
        </w:rPr>
      </w:pPr>
      <w:r>
        <w:rPr>
          <w:highlight w:val="none"/>
        </w:rPr>
        <w:t>表</w:t>
      </w:r>
      <w:r>
        <w:rPr>
          <w:rFonts w:hint="eastAsia"/>
          <w:highlight w:val="none"/>
        </w:rPr>
        <w:t>4</w:t>
      </w:r>
      <w:r>
        <w:rPr>
          <w:highlight w:val="none"/>
        </w:rPr>
        <w:t>-</w:t>
      </w:r>
      <w:r>
        <w:rPr>
          <w:rFonts w:hint="eastAsia"/>
          <w:highlight w:val="none"/>
        </w:rPr>
        <w:t>1</w:t>
      </w:r>
      <w:r>
        <w:rPr>
          <w:highlight w:val="none"/>
        </w:rPr>
        <w:t xml:space="preserve"> </w:t>
      </w:r>
      <w:r>
        <w:rPr>
          <w:rFonts w:hint="eastAsia"/>
          <w:highlight w:val="none"/>
        </w:rPr>
        <w:t>部门资金情况分析表</w:t>
      </w:r>
      <w:r>
        <w:rPr>
          <w:rFonts w:hint="eastAsia"/>
          <w:highlight w:val="none"/>
          <w:lang w:eastAsia="zh-CN"/>
        </w:rPr>
        <w:t>（</w:t>
      </w:r>
      <w:r>
        <w:rPr>
          <w:rFonts w:hint="eastAsia"/>
          <w:highlight w:val="none"/>
          <w:lang w:val="en-US" w:eastAsia="zh-CN"/>
        </w:rPr>
        <w:t>决算表</w:t>
      </w:r>
      <w:r>
        <w:rPr>
          <w:rFonts w:hint="eastAsia"/>
          <w:highlight w:val="none"/>
          <w:lang w:eastAsia="zh-CN"/>
        </w:rPr>
        <w:t>）</w:t>
      </w:r>
    </w:p>
    <w:tbl>
      <w:tblPr>
        <w:tblStyle w:val="13"/>
        <w:tblW w:w="5000" w:type="pct"/>
        <w:jc w:val="center"/>
        <w:tblLayout w:type="fixed"/>
        <w:tblCellMar>
          <w:top w:w="0" w:type="dxa"/>
          <w:left w:w="108" w:type="dxa"/>
          <w:bottom w:w="0" w:type="dxa"/>
          <w:right w:w="108" w:type="dxa"/>
        </w:tblCellMar>
      </w:tblPr>
      <w:tblGrid>
        <w:gridCol w:w="3606"/>
        <w:gridCol w:w="1605"/>
        <w:gridCol w:w="3013"/>
        <w:gridCol w:w="1538"/>
        <w:gridCol w:w="2736"/>
        <w:gridCol w:w="1676"/>
      </w:tblGrid>
      <w:tr>
        <w:tblPrEx>
          <w:tblCellMar>
            <w:top w:w="0" w:type="dxa"/>
            <w:left w:w="108" w:type="dxa"/>
            <w:bottom w:w="0" w:type="dxa"/>
            <w:right w:w="108" w:type="dxa"/>
          </w:tblCellMar>
        </w:tblPrEx>
        <w:trPr>
          <w:trHeight w:val="404" w:hRule="atLeast"/>
          <w:tblHeader/>
          <w:jc w:val="center"/>
        </w:trPr>
        <w:tc>
          <w:tcPr>
            <w:tcW w:w="1838" w:type="pct"/>
            <w:gridSpan w:val="2"/>
            <w:tcBorders>
              <w:top w:val="single" w:color="000000" w:sz="4" w:space="0"/>
              <w:left w:val="single" w:color="000000" w:sz="4" w:space="0"/>
              <w:bottom w:val="single" w:color="000000" w:sz="4" w:space="0"/>
              <w:right w:val="single" w:color="000000" w:sz="4" w:space="0"/>
            </w:tcBorders>
            <w:shd w:val="pct30" w:color="auto" w:fill="auto"/>
            <w:noWrap/>
            <w:vAlign w:val="center"/>
          </w:tcPr>
          <w:p>
            <w:pPr>
              <w:pStyle w:val="16"/>
              <w:bidi w:val="0"/>
              <w:rPr>
                <w:highlight w:val="none"/>
              </w:rPr>
            </w:pPr>
            <w:r>
              <w:rPr>
                <w:rFonts w:hint="eastAsia"/>
                <w:highlight w:val="none"/>
              </w:rPr>
              <w:t>收入</w:t>
            </w:r>
          </w:p>
        </w:tc>
        <w:tc>
          <w:tcPr>
            <w:tcW w:w="3161" w:type="pct"/>
            <w:gridSpan w:val="4"/>
            <w:tcBorders>
              <w:top w:val="single" w:color="000000" w:sz="4" w:space="0"/>
              <w:left w:val="single" w:color="000000" w:sz="4" w:space="0"/>
              <w:bottom w:val="single" w:color="000000" w:sz="4" w:space="0"/>
              <w:right w:val="single" w:color="000000" w:sz="4" w:space="0"/>
            </w:tcBorders>
            <w:shd w:val="pct30" w:color="auto" w:fill="auto"/>
            <w:noWrap/>
            <w:vAlign w:val="center"/>
          </w:tcPr>
          <w:p>
            <w:pPr>
              <w:pStyle w:val="16"/>
              <w:bidi w:val="0"/>
              <w:rPr>
                <w:highlight w:val="none"/>
              </w:rPr>
            </w:pPr>
            <w:r>
              <w:rPr>
                <w:rFonts w:hint="eastAsia"/>
                <w:highlight w:val="none"/>
              </w:rPr>
              <w:t>支出</w:t>
            </w:r>
          </w:p>
        </w:tc>
      </w:tr>
      <w:tr>
        <w:tblPrEx>
          <w:tblCellMar>
            <w:top w:w="0" w:type="dxa"/>
            <w:left w:w="108" w:type="dxa"/>
            <w:bottom w:w="0" w:type="dxa"/>
            <w:right w:w="108" w:type="dxa"/>
          </w:tblCellMar>
        </w:tblPrEx>
        <w:trPr>
          <w:trHeight w:val="270"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rPr>
              <w:t>项目</w:t>
            </w: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rPr>
              <w:t>金额</w:t>
            </w: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rPr>
              <w:t>功能科目</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rPr>
              <w:t>金额</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rPr>
              <w:t>经济科目</w:t>
            </w: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rPr>
              <w:t>金额</w:t>
            </w:r>
          </w:p>
        </w:tc>
      </w:tr>
      <w:tr>
        <w:tblPrEx>
          <w:tblCellMar>
            <w:top w:w="0" w:type="dxa"/>
            <w:left w:w="108" w:type="dxa"/>
            <w:bottom w:w="0" w:type="dxa"/>
            <w:right w:w="108" w:type="dxa"/>
          </w:tblCellMar>
        </w:tblPrEx>
        <w:trPr>
          <w:trHeight w:val="503"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一、一般公共预算财政拨款收入</w:t>
            </w: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10,353,648.38</w:t>
            </w: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一、一般公共服务支出</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8,601,125.80</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一、基本支出</w:t>
            </w: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8,693,798.62</w:t>
            </w:r>
          </w:p>
        </w:tc>
      </w:tr>
      <w:tr>
        <w:tblPrEx>
          <w:tblCellMar>
            <w:top w:w="0" w:type="dxa"/>
            <w:left w:w="108" w:type="dxa"/>
            <w:bottom w:w="0" w:type="dxa"/>
            <w:right w:w="108" w:type="dxa"/>
          </w:tblCellMar>
        </w:tblPrEx>
        <w:trPr>
          <w:trHeight w:val="323"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二、政府性基金预算财政拨款收入</w:t>
            </w: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二、外交支出</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 xml:space="preserve">      人员经费</w:t>
            </w: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7,968,668.24</w:t>
            </w:r>
          </w:p>
        </w:tc>
      </w:tr>
      <w:tr>
        <w:tblPrEx>
          <w:tblCellMar>
            <w:top w:w="0" w:type="dxa"/>
            <w:left w:w="108" w:type="dxa"/>
            <w:bottom w:w="0" w:type="dxa"/>
            <w:right w:w="108" w:type="dxa"/>
          </w:tblCellMar>
        </w:tblPrEx>
        <w:trPr>
          <w:trHeight w:val="90"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三、国有资本经营预算财政拨款收入</w:t>
            </w: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三、国防支出</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 xml:space="preserve">      公用经费</w:t>
            </w: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725,130.38</w:t>
            </w:r>
          </w:p>
        </w:tc>
      </w:tr>
      <w:tr>
        <w:tblPrEx>
          <w:tblCellMar>
            <w:top w:w="0" w:type="dxa"/>
            <w:left w:w="108" w:type="dxa"/>
            <w:bottom w:w="0" w:type="dxa"/>
            <w:right w:w="108" w:type="dxa"/>
          </w:tblCellMar>
        </w:tblPrEx>
        <w:trPr>
          <w:trHeight w:val="270"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四、上级补助收入</w:t>
            </w: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四、公共安全支出</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二、项目支出</w:t>
            </w: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1,659,849.76</w:t>
            </w:r>
          </w:p>
        </w:tc>
      </w:tr>
      <w:tr>
        <w:tblPrEx>
          <w:tblCellMar>
            <w:top w:w="0" w:type="dxa"/>
            <w:left w:w="108" w:type="dxa"/>
            <w:bottom w:w="0" w:type="dxa"/>
            <w:right w:w="108" w:type="dxa"/>
          </w:tblCellMar>
        </w:tblPrEx>
        <w:trPr>
          <w:trHeight w:val="270"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五、事业收入</w:t>
            </w: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五、教育支出</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115,200.77</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 xml:space="preserve">    其中：基本建设类项目</w:t>
            </w: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r>
      <w:tr>
        <w:tblPrEx>
          <w:tblCellMar>
            <w:top w:w="0" w:type="dxa"/>
            <w:left w:w="108" w:type="dxa"/>
            <w:bottom w:w="0" w:type="dxa"/>
            <w:right w:w="108" w:type="dxa"/>
          </w:tblCellMar>
        </w:tblPrEx>
        <w:trPr>
          <w:trHeight w:val="270"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六、经营收入</w:t>
            </w: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六、科学技术支出</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三、上缴上级支出</w:t>
            </w: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r>
      <w:tr>
        <w:tblPrEx>
          <w:tblCellMar>
            <w:top w:w="0" w:type="dxa"/>
            <w:left w:w="108" w:type="dxa"/>
            <w:bottom w:w="0" w:type="dxa"/>
            <w:right w:w="108" w:type="dxa"/>
          </w:tblCellMar>
        </w:tblPrEx>
        <w:trPr>
          <w:trHeight w:val="270"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七、附属单位上缴收入</w:t>
            </w: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七、文化旅游体育与传媒支出</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四、经营支出</w:t>
            </w: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r>
      <w:tr>
        <w:tblPrEx>
          <w:tblCellMar>
            <w:top w:w="0" w:type="dxa"/>
            <w:left w:w="108" w:type="dxa"/>
            <w:bottom w:w="0" w:type="dxa"/>
            <w:right w:w="108" w:type="dxa"/>
          </w:tblCellMar>
        </w:tblPrEx>
        <w:trPr>
          <w:trHeight w:val="270"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八、其他收入</w:t>
            </w: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八、社会保障和就业支出</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789,227.47</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五、对附属单位补助支出</w:t>
            </w: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r>
      <w:tr>
        <w:tblPrEx>
          <w:tblCellMar>
            <w:top w:w="0" w:type="dxa"/>
            <w:left w:w="108" w:type="dxa"/>
            <w:bottom w:w="0" w:type="dxa"/>
            <w:right w:w="108" w:type="dxa"/>
          </w:tblCellMar>
        </w:tblPrEx>
        <w:trPr>
          <w:trHeight w:val="315"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九、卫生健康支出</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392,060.34</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p>
        </w:tc>
      </w:tr>
      <w:tr>
        <w:tblPrEx>
          <w:tblCellMar>
            <w:top w:w="0" w:type="dxa"/>
            <w:left w:w="108" w:type="dxa"/>
            <w:bottom w:w="0" w:type="dxa"/>
            <w:right w:w="108" w:type="dxa"/>
          </w:tblCellMar>
        </w:tblPrEx>
        <w:trPr>
          <w:trHeight w:val="315"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十、节能环保支出</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p>
        </w:tc>
      </w:tr>
      <w:tr>
        <w:tblPrEx>
          <w:tblCellMar>
            <w:top w:w="0" w:type="dxa"/>
            <w:left w:w="108" w:type="dxa"/>
            <w:bottom w:w="0" w:type="dxa"/>
            <w:right w:w="108" w:type="dxa"/>
          </w:tblCellMar>
        </w:tblPrEx>
        <w:trPr>
          <w:trHeight w:val="315"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十一、城乡社区支出</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经济分类支出合计</w:t>
            </w: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10,353,648.38</w:t>
            </w:r>
          </w:p>
        </w:tc>
      </w:tr>
      <w:tr>
        <w:tblPrEx>
          <w:tblCellMar>
            <w:top w:w="0" w:type="dxa"/>
            <w:left w:w="108" w:type="dxa"/>
            <w:bottom w:w="0" w:type="dxa"/>
            <w:right w:w="108" w:type="dxa"/>
          </w:tblCellMar>
        </w:tblPrEx>
        <w:trPr>
          <w:trHeight w:val="315"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十二、农林水支出</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71,340.00</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一、工资福利支出</w:t>
            </w: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7,057,000.82</w:t>
            </w:r>
          </w:p>
        </w:tc>
      </w:tr>
      <w:tr>
        <w:tblPrEx>
          <w:tblCellMar>
            <w:top w:w="0" w:type="dxa"/>
            <w:left w:w="108" w:type="dxa"/>
            <w:bottom w:w="0" w:type="dxa"/>
            <w:right w:w="108" w:type="dxa"/>
          </w:tblCellMar>
        </w:tblPrEx>
        <w:trPr>
          <w:trHeight w:val="315"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十三、交通运输支出</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二、商品和服务支出</w:t>
            </w: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2,281,415.14</w:t>
            </w:r>
          </w:p>
        </w:tc>
      </w:tr>
      <w:tr>
        <w:tblPrEx>
          <w:tblCellMar>
            <w:top w:w="0" w:type="dxa"/>
            <w:left w:w="108" w:type="dxa"/>
            <w:bottom w:w="0" w:type="dxa"/>
            <w:right w:w="108" w:type="dxa"/>
          </w:tblCellMar>
        </w:tblPrEx>
        <w:trPr>
          <w:trHeight w:val="315"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十四、资源勘探工业信息等支出</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三、对个人和家庭的补助</w:t>
            </w: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911,667.42</w:t>
            </w:r>
          </w:p>
        </w:tc>
      </w:tr>
      <w:tr>
        <w:tblPrEx>
          <w:tblCellMar>
            <w:top w:w="0" w:type="dxa"/>
            <w:left w:w="108" w:type="dxa"/>
            <w:bottom w:w="0" w:type="dxa"/>
            <w:right w:w="108" w:type="dxa"/>
          </w:tblCellMar>
        </w:tblPrEx>
        <w:trPr>
          <w:trHeight w:val="315"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十五、商业服务业等支出</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四、债务利息及费用支出</w:t>
            </w: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r>
      <w:tr>
        <w:tblPrEx>
          <w:tblCellMar>
            <w:top w:w="0" w:type="dxa"/>
            <w:left w:w="108" w:type="dxa"/>
            <w:bottom w:w="0" w:type="dxa"/>
            <w:right w:w="108" w:type="dxa"/>
          </w:tblCellMar>
        </w:tblPrEx>
        <w:trPr>
          <w:trHeight w:val="315"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十六、金融支出</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五、资本性支出（基本建设）</w:t>
            </w: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r>
      <w:tr>
        <w:tblPrEx>
          <w:tblCellMar>
            <w:top w:w="0" w:type="dxa"/>
            <w:left w:w="108" w:type="dxa"/>
            <w:bottom w:w="0" w:type="dxa"/>
            <w:right w:w="108" w:type="dxa"/>
          </w:tblCellMar>
        </w:tblPrEx>
        <w:trPr>
          <w:trHeight w:val="315"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十七、援助其他地区支出</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六、资本性支出</w:t>
            </w: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103,565.00</w:t>
            </w:r>
          </w:p>
        </w:tc>
      </w:tr>
      <w:tr>
        <w:tblPrEx>
          <w:tblCellMar>
            <w:top w:w="0" w:type="dxa"/>
            <w:left w:w="108" w:type="dxa"/>
            <w:bottom w:w="0" w:type="dxa"/>
            <w:right w:w="108" w:type="dxa"/>
          </w:tblCellMar>
        </w:tblPrEx>
        <w:trPr>
          <w:trHeight w:val="315"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十八、自然资源海洋气象等支出</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七、对企业补助（基本建设）</w:t>
            </w: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r>
      <w:tr>
        <w:tblPrEx>
          <w:tblCellMar>
            <w:top w:w="0" w:type="dxa"/>
            <w:left w:w="108" w:type="dxa"/>
            <w:bottom w:w="0" w:type="dxa"/>
            <w:right w:w="108" w:type="dxa"/>
          </w:tblCellMar>
        </w:tblPrEx>
        <w:trPr>
          <w:trHeight w:val="315"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十九、住房保障支出</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379,869.00</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八、对企业补助</w:t>
            </w: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r>
      <w:tr>
        <w:tblPrEx>
          <w:tblCellMar>
            <w:top w:w="0" w:type="dxa"/>
            <w:left w:w="108" w:type="dxa"/>
            <w:bottom w:w="0" w:type="dxa"/>
            <w:right w:w="108" w:type="dxa"/>
          </w:tblCellMar>
        </w:tblPrEx>
        <w:trPr>
          <w:trHeight w:val="315"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二十、粮油物资储备支出</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九、对社会保障基金补助</w:t>
            </w: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r>
      <w:tr>
        <w:tblPrEx>
          <w:tblCellMar>
            <w:top w:w="0" w:type="dxa"/>
            <w:left w:w="108" w:type="dxa"/>
            <w:bottom w:w="0" w:type="dxa"/>
            <w:right w:w="108" w:type="dxa"/>
          </w:tblCellMar>
        </w:tblPrEx>
        <w:trPr>
          <w:trHeight w:val="315"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二十一、国有资本经营预算支出</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十、其他支出</w:t>
            </w: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r>
      <w:tr>
        <w:tblPrEx>
          <w:tblCellMar>
            <w:top w:w="0" w:type="dxa"/>
            <w:left w:w="108" w:type="dxa"/>
            <w:bottom w:w="0" w:type="dxa"/>
            <w:right w:w="108" w:type="dxa"/>
          </w:tblCellMar>
        </w:tblPrEx>
        <w:trPr>
          <w:trHeight w:val="315"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二十二、灾害防治及应急管理支出</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p>
        </w:tc>
      </w:tr>
      <w:tr>
        <w:tblPrEx>
          <w:tblCellMar>
            <w:top w:w="0" w:type="dxa"/>
            <w:left w:w="108" w:type="dxa"/>
            <w:bottom w:w="0" w:type="dxa"/>
            <w:right w:w="108" w:type="dxa"/>
          </w:tblCellMar>
        </w:tblPrEx>
        <w:trPr>
          <w:trHeight w:val="315"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二十三、其他支出</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4,825.00</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p>
        </w:tc>
      </w:tr>
      <w:tr>
        <w:tblPrEx>
          <w:tblCellMar>
            <w:top w:w="0" w:type="dxa"/>
            <w:left w:w="108" w:type="dxa"/>
            <w:bottom w:w="0" w:type="dxa"/>
            <w:right w:w="108" w:type="dxa"/>
          </w:tblCellMar>
        </w:tblPrEx>
        <w:trPr>
          <w:trHeight w:val="315"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二十四、债务还本支出</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p>
        </w:tc>
      </w:tr>
      <w:tr>
        <w:tblPrEx>
          <w:tblCellMar>
            <w:top w:w="0" w:type="dxa"/>
            <w:left w:w="108" w:type="dxa"/>
            <w:bottom w:w="0" w:type="dxa"/>
            <w:right w:w="108" w:type="dxa"/>
          </w:tblCellMar>
        </w:tblPrEx>
        <w:trPr>
          <w:trHeight w:val="315"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二十五、债务付息支出</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p>
        </w:tc>
      </w:tr>
      <w:tr>
        <w:tblPrEx>
          <w:tblCellMar>
            <w:top w:w="0" w:type="dxa"/>
            <w:left w:w="108" w:type="dxa"/>
            <w:bottom w:w="0" w:type="dxa"/>
            <w:right w:w="108" w:type="dxa"/>
          </w:tblCellMar>
        </w:tblPrEx>
        <w:trPr>
          <w:trHeight w:val="315"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lang w:val="en-US" w:eastAsia="zh-CN"/>
              </w:rPr>
              <w:t>二十六、抗疫特别国债安排的支出</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p>
        </w:tc>
      </w:tr>
      <w:tr>
        <w:tblPrEx>
          <w:tblCellMar>
            <w:top w:w="0" w:type="dxa"/>
            <w:left w:w="108" w:type="dxa"/>
            <w:bottom w:w="0" w:type="dxa"/>
            <w:right w:w="108" w:type="dxa"/>
          </w:tblCellMar>
        </w:tblPrEx>
        <w:trPr>
          <w:trHeight w:val="300"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rPr>
              <w:t>本年收入合计</w:t>
            </w: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10,353,648.38</w:t>
            </w:r>
          </w:p>
        </w:tc>
        <w:tc>
          <w:tcPr>
            <w:tcW w:w="257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rPr>
              <w:t>本年支出合计</w:t>
            </w: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10,353,648.38</w:t>
            </w:r>
          </w:p>
        </w:tc>
      </w:tr>
      <w:tr>
        <w:tblPrEx>
          <w:tblCellMar>
            <w:top w:w="0" w:type="dxa"/>
            <w:left w:w="108" w:type="dxa"/>
            <w:bottom w:w="0" w:type="dxa"/>
            <w:right w:w="108" w:type="dxa"/>
          </w:tblCellMar>
        </w:tblPrEx>
        <w:trPr>
          <w:trHeight w:val="300"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rPr>
              <w:t>使用非财政拨款结余</w:t>
            </w: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257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rPr>
              <w:t>结余分配</w:t>
            </w: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r>
      <w:tr>
        <w:tblPrEx>
          <w:tblCellMar>
            <w:top w:w="0" w:type="dxa"/>
            <w:left w:w="108" w:type="dxa"/>
            <w:bottom w:w="0" w:type="dxa"/>
            <w:right w:w="108" w:type="dxa"/>
          </w:tblCellMar>
        </w:tblPrEx>
        <w:trPr>
          <w:trHeight w:val="300"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rPr>
            </w:pPr>
            <w:r>
              <w:rPr>
                <w:rFonts w:hint="eastAsia"/>
                <w:highlight w:val="none"/>
              </w:rPr>
              <w:t>年初结转和结余</w:t>
            </w: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c>
          <w:tcPr>
            <w:tcW w:w="257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rPr>
              <w:t>年末结转和结余</w:t>
            </w: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0.00</w:t>
            </w:r>
          </w:p>
        </w:tc>
      </w:tr>
      <w:tr>
        <w:tblPrEx>
          <w:tblCellMar>
            <w:top w:w="0" w:type="dxa"/>
            <w:left w:w="108" w:type="dxa"/>
            <w:bottom w:w="0" w:type="dxa"/>
            <w:right w:w="108" w:type="dxa"/>
          </w:tblCellMar>
        </w:tblPrEx>
        <w:trPr>
          <w:trHeight w:val="300" w:hRule="atLeast"/>
          <w:jc w:val="center"/>
        </w:trPr>
        <w:tc>
          <w:tcPr>
            <w:tcW w:w="1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lang w:eastAsia="zh-CN"/>
              </w:rPr>
            </w:pPr>
            <w:r>
              <w:rPr>
                <w:rFonts w:hint="eastAsia"/>
                <w:highlight w:val="none"/>
              </w:rPr>
              <w:t>总计</w:t>
            </w:r>
            <w:r>
              <w:rPr>
                <w:rFonts w:hint="eastAsia"/>
                <w:highlight w:val="none"/>
                <w:lang w:eastAsia="zh-CN"/>
              </w:rPr>
              <w:t>：</w:t>
            </w: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lang w:val="en-US" w:eastAsia="zh-CN"/>
              </w:rPr>
            </w:pPr>
            <w:r>
              <w:rPr>
                <w:rFonts w:hint="eastAsia"/>
                <w:highlight w:val="none"/>
                <w:lang w:val="en-US" w:eastAsia="zh-CN"/>
              </w:rPr>
              <w:t>10,353,648.38</w:t>
            </w:r>
          </w:p>
        </w:tc>
        <w:tc>
          <w:tcPr>
            <w:tcW w:w="257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rPr>
              <w:t>总计：</w:t>
            </w: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highlight w:val="none"/>
                <w:lang w:val="en-US" w:eastAsia="zh-CN"/>
              </w:rPr>
            </w:pPr>
            <w:r>
              <w:rPr>
                <w:rFonts w:hint="eastAsia"/>
                <w:highlight w:val="none"/>
                <w:lang w:val="en-US" w:eastAsia="zh-CN"/>
              </w:rPr>
              <w:t>10,353,648.38</w:t>
            </w:r>
          </w:p>
        </w:tc>
      </w:tr>
    </w:tbl>
    <w:p>
      <w:pPr>
        <w:pStyle w:val="20"/>
        <w:bidi w:val="0"/>
      </w:pPr>
    </w:p>
    <w:p>
      <w:pPr>
        <w:pStyle w:val="20"/>
        <w:bidi w:val="0"/>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4"/>
        <w:bidi w:val="0"/>
      </w:pPr>
      <w:r>
        <w:t>2.资金管理情况</w:t>
      </w:r>
    </w:p>
    <w:p>
      <w:pPr>
        <w:pStyle w:val="20"/>
        <w:bidi w:val="0"/>
        <w:jc w:val="both"/>
      </w:pPr>
      <w:r>
        <w:rPr>
          <w:rFonts w:hint="eastAsia"/>
        </w:rPr>
        <w:t>我单位参照相关国家法律法规，制定了财务管理</w:t>
      </w:r>
      <w:r>
        <w:rPr>
          <w:rFonts w:hint="eastAsia"/>
          <w:lang w:val="en-US" w:eastAsia="zh-CN"/>
        </w:rPr>
        <w:t>等</w:t>
      </w:r>
      <w:r>
        <w:rPr>
          <w:rFonts w:hint="eastAsia"/>
        </w:rPr>
        <w:t>管理办法，且制定了</w:t>
      </w:r>
      <w:r>
        <w:rPr>
          <w:rFonts w:hint="eastAsia"/>
          <w:lang w:val="en-US" w:eastAsia="zh-CN"/>
        </w:rPr>
        <w:t>预算管理制度、合同管理制度、固定资产管理制度、采购管理制度等管理制度</w:t>
      </w:r>
      <w:r>
        <w:t>。</w:t>
      </w:r>
      <w:r>
        <w:rPr>
          <w:rFonts w:hint="eastAsia"/>
        </w:rPr>
        <w:t>针对主要经费的管理，明确了相应原则和要求、开支范围、程序、办法及标准、审批权限等，上述制度规定基本得到执行。</w:t>
      </w:r>
    </w:p>
    <w:p>
      <w:pPr>
        <w:pStyle w:val="3"/>
        <w:bidi w:val="0"/>
      </w:pPr>
      <w:bookmarkStart w:id="22" w:name="_Toc31998"/>
      <w:r>
        <w:rPr>
          <w:rFonts w:hint="eastAsia"/>
          <w:lang w:eastAsia="zh-CN"/>
        </w:rPr>
        <w:t>（</w:t>
      </w:r>
      <w:r>
        <w:t>二</w:t>
      </w:r>
      <w:r>
        <w:rPr>
          <w:rFonts w:hint="eastAsia"/>
          <w:lang w:eastAsia="zh-CN"/>
        </w:rPr>
        <w:t>）</w:t>
      </w:r>
      <w:r>
        <w:t>项目绩效指标完成情况分析</w:t>
      </w:r>
      <w:bookmarkEnd w:id="22"/>
    </w:p>
    <w:p>
      <w:pPr>
        <w:pStyle w:val="4"/>
        <w:bidi w:val="0"/>
      </w:pPr>
      <w:r>
        <w:t>1.</w:t>
      </w:r>
      <w:r>
        <w:rPr>
          <w:rFonts w:hint="eastAsia"/>
        </w:rPr>
        <w:t>投</w:t>
      </w:r>
      <w:r>
        <w:t>入管理指标完成情况分析</w:t>
      </w:r>
    </w:p>
    <w:p>
      <w:pPr>
        <w:pStyle w:val="20"/>
        <w:bidi w:val="0"/>
      </w:pPr>
      <w:r>
        <w:rPr>
          <w:rFonts w:hint="eastAsia"/>
        </w:rPr>
        <w:t>（1）工作目标管理</w:t>
      </w:r>
    </w:p>
    <w:p>
      <w:pPr>
        <w:pStyle w:val="20"/>
        <w:bidi w:val="0"/>
        <w:jc w:val="both"/>
        <w:rPr>
          <w:highlight w:val="none"/>
        </w:rPr>
      </w:pPr>
      <w:r>
        <w:rPr>
          <w:rFonts w:hint="eastAsia"/>
          <w:highlight w:val="none"/>
        </w:rPr>
        <w:t>①</w:t>
      </w:r>
      <w:r>
        <w:rPr>
          <w:highlight w:val="none"/>
        </w:rPr>
        <w:t>年度</w:t>
      </w:r>
      <w:r>
        <w:rPr>
          <w:rFonts w:hint="eastAsia"/>
          <w:highlight w:val="none"/>
        </w:rPr>
        <w:t>履职</w:t>
      </w:r>
      <w:r>
        <w:rPr>
          <w:highlight w:val="none"/>
        </w:rPr>
        <w:t>目标相关性</w:t>
      </w:r>
      <w:r>
        <w:rPr>
          <w:rFonts w:hint="eastAsia"/>
          <w:highlight w:val="none"/>
        </w:rPr>
        <w:t>，</w:t>
      </w:r>
      <w:r>
        <w:rPr>
          <w:highlight w:val="none"/>
        </w:rPr>
        <w:t>指标2分，得2分。</w:t>
      </w:r>
    </w:p>
    <w:p>
      <w:pPr>
        <w:pStyle w:val="20"/>
        <w:bidi w:val="0"/>
        <w:jc w:val="both"/>
        <w:rPr>
          <w:highlight w:val="none"/>
        </w:rPr>
      </w:pPr>
      <w:r>
        <w:rPr>
          <w:rFonts w:hint="eastAsia"/>
          <w:highlight w:val="none"/>
        </w:rPr>
        <w:t>我单位根据</w:t>
      </w:r>
      <w:r>
        <w:rPr>
          <w:rFonts w:hint="eastAsia"/>
          <w:highlight w:val="none"/>
          <w:lang w:val="en-US" w:eastAsia="zh-CN"/>
        </w:rPr>
        <w:t>相关文件</w:t>
      </w:r>
      <w:r>
        <w:rPr>
          <w:rFonts w:hint="eastAsia"/>
          <w:highlight w:val="none"/>
        </w:rPr>
        <w:t>结合部门年初工作要点，制定了</w:t>
      </w:r>
      <w:r>
        <w:rPr>
          <w:rFonts w:hint="eastAsia"/>
          <w:highlight w:val="none"/>
          <w:lang w:val="en-US" w:eastAsia="zh-CN"/>
        </w:rPr>
        <w:t>年度</w:t>
      </w:r>
      <w:r>
        <w:rPr>
          <w:rFonts w:hint="eastAsia"/>
          <w:highlight w:val="none"/>
        </w:rPr>
        <w:t>目标。符合国家、省、市战略部署和发展规划，与国家、省、市宏观政策、行政政策一致；目标与部门职责、工作规划和重点工作相关；确定的预算项目合理，与工作目标密切相关；工作任务和项目预算安排合理。</w:t>
      </w:r>
    </w:p>
    <w:p>
      <w:pPr>
        <w:pStyle w:val="20"/>
        <w:bidi w:val="0"/>
        <w:jc w:val="both"/>
        <w:rPr>
          <w:highlight w:val="none"/>
        </w:rPr>
      </w:pPr>
      <w:r>
        <w:rPr>
          <w:rFonts w:hint="eastAsia"/>
          <w:highlight w:val="none"/>
        </w:rPr>
        <w:t>②工作任务科学性，</w:t>
      </w:r>
      <w:r>
        <w:rPr>
          <w:highlight w:val="none"/>
        </w:rPr>
        <w:t>指标2分，得2分。</w:t>
      </w:r>
    </w:p>
    <w:p>
      <w:pPr>
        <w:pStyle w:val="20"/>
        <w:bidi w:val="0"/>
        <w:jc w:val="both"/>
        <w:rPr>
          <w:highlight w:val="yellow"/>
        </w:rPr>
      </w:pPr>
      <w:r>
        <w:rPr>
          <w:rFonts w:hint="eastAsia"/>
          <w:highlight w:val="none"/>
        </w:rPr>
        <w:t>我单位根据</w:t>
      </w:r>
      <w:r>
        <w:rPr>
          <w:rFonts w:hint="eastAsia"/>
          <w:highlight w:val="none"/>
          <w:lang w:val="en-US" w:eastAsia="zh-CN"/>
        </w:rPr>
        <w:t>相关文件</w:t>
      </w:r>
      <w:r>
        <w:rPr>
          <w:rFonts w:hint="eastAsia"/>
          <w:highlight w:val="none"/>
        </w:rPr>
        <w:t>文件要求，制定了</w:t>
      </w:r>
      <w:r>
        <w:rPr>
          <w:rFonts w:hint="eastAsia"/>
          <w:highlight w:val="none"/>
          <w:lang w:val="en-US" w:eastAsia="zh-CN"/>
        </w:rPr>
        <w:t>7</w:t>
      </w:r>
      <w:r>
        <w:rPr>
          <w:rFonts w:hint="eastAsia"/>
          <w:highlight w:val="none"/>
        </w:rPr>
        <w:t>项主要工作任务，有明确的绩效目标，工作任务对应的预算项目有明确的绩效目标，绩效目标与部门职责目标、工作任务目标一致，能体现预算项目的产出和效果。</w:t>
      </w:r>
    </w:p>
    <w:p>
      <w:pPr>
        <w:pStyle w:val="20"/>
        <w:bidi w:val="0"/>
        <w:jc w:val="both"/>
        <w:rPr>
          <w:highlight w:val="none"/>
        </w:rPr>
      </w:pPr>
      <w:r>
        <w:rPr>
          <w:rFonts w:hint="eastAsia"/>
          <w:highlight w:val="none"/>
        </w:rPr>
        <w:t>③</w:t>
      </w:r>
      <w:r>
        <w:rPr>
          <w:highlight w:val="none"/>
        </w:rPr>
        <w:t>绩效指标合理性</w:t>
      </w:r>
      <w:r>
        <w:rPr>
          <w:rFonts w:hint="eastAsia"/>
          <w:highlight w:val="none"/>
        </w:rPr>
        <w:t>，</w:t>
      </w:r>
      <w:r>
        <w:rPr>
          <w:highlight w:val="none"/>
        </w:rPr>
        <w:t>指标2分，得</w:t>
      </w:r>
      <w:r>
        <w:rPr>
          <w:rFonts w:hint="eastAsia"/>
          <w:highlight w:val="none"/>
          <w:lang w:val="en-US" w:eastAsia="zh-CN"/>
        </w:rPr>
        <w:t>2</w:t>
      </w:r>
      <w:r>
        <w:rPr>
          <w:highlight w:val="none"/>
        </w:rPr>
        <w:t>分。</w:t>
      </w:r>
    </w:p>
    <w:p>
      <w:pPr>
        <w:pStyle w:val="20"/>
        <w:bidi w:val="0"/>
        <w:jc w:val="both"/>
        <w:rPr>
          <w:rFonts w:hint="default" w:eastAsia="仿宋"/>
          <w:highlight w:val="yellow"/>
          <w:lang w:val="en-US" w:eastAsia="zh-CN"/>
        </w:rPr>
      </w:pPr>
      <w:r>
        <w:rPr>
          <w:rFonts w:hint="eastAsia"/>
          <w:highlight w:val="none"/>
          <w:lang w:val="en-US" w:eastAsia="zh-CN"/>
        </w:rPr>
        <w:t>我单位结合工作特点制定相应合理绩效指标。</w:t>
      </w:r>
    </w:p>
    <w:p>
      <w:pPr>
        <w:pStyle w:val="20"/>
        <w:bidi w:val="0"/>
        <w:jc w:val="both"/>
        <w:rPr>
          <w:highlight w:val="none"/>
        </w:rPr>
      </w:pPr>
      <w:r>
        <w:rPr>
          <w:rFonts w:hint="eastAsia"/>
          <w:highlight w:val="none"/>
        </w:rPr>
        <w:t>（2）预算和财务管理</w:t>
      </w:r>
    </w:p>
    <w:p>
      <w:pPr>
        <w:pStyle w:val="20"/>
        <w:bidi w:val="0"/>
        <w:jc w:val="both"/>
        <w:rPr>
          <w:highlight w:val="none"/>
        </w:rPr>
      </w:pPr>
      <w:r>
        <w:rPr>
          <w:rFonts w:hint="eastAsia"/>
          <w:highlight w:val="none"/>
        </w:rPr>
        <w:t>①</w:t>
      </w:r>
      <w:r>
        <w:rPr>
          <w:highlight w:val="none"/>
        </w:rPr>
        <w:t>预算编制完整性</w:t>
      </w:r>
      <w:r>
        <w:rPr>
          <w:rFonts w:hint="eastAsia"/>
          <w:highlight w:val="none"/>
        </w:rPr>
        <w:t>，</w:t>
      </w:r>
      <w:r>
        <w:rPr>
          <w:highlight w:val="none"/>
        </w:rPr>
        <w:t>指标2分，得2分。</w:t>
      </w:r>
    </w:p>
    <w:p>
      <w:pPr>
        <w:pStyle w:val="20"/>
        <w:bidi w:val="0"/>
        <w:jc w:val="both"/>
        <w:rPr>
          <w:highlight w:val="yellow"/>
        </w:rPr>
      </w:pPr>
      <w:r>
        <w:rPr>
          <w:highlight w:val="none"/>
        </w:rPr>
        <w:t>我</w:t>
      </w:r>
      <w:r>
        <w:rPr>
          <w:rFonts w:hint="eastAsia"/>
          <w:highlight w:val="none"/>
        </w:rPr>
        <w:t>单位</w:t>
      </w:r>
      <w:r>
        <w:rPr>
          <w:rFonts w:hint="eastAsia"/>
          <w:highlight w:val="none"/>
          <w:lang w:eastAsia="zh-CN"/>
        </w:rPr>
        <w:t>2021</w:t>
      </w:r>
      <w:r>
        <w:rPr>
          <w:highlight w:val="none"/>
        </w:rPr>
        <w:t>年预算编制按照历史金额作为编制依据，部门所有收入全部纳入部门预算，部门支出预算是统筹各类资金来源，全部纳入部门预算管理，预算编制明细到各类项，预算编制完整。</w:t>
      </w:r>
    </w:p>
    <w:p>
      <w:pPr>
        <w:pStyle w:val="20"/>
        <w:bidi w:val="0"/>
        <w:jc w:val="both"/>
        <w:rPr>
          <w:highlight w:val="none"/>
        </w:rPr>
      </w:pPr>
      <w:r>
        <w:rPr>
          <w:rFonts w:hint="eastAsia"/>
          <w:highlight w:val="none"/>
        </w:rPr>
        <w:t>②</w:t>
      </w:r>
      <w:r>
        <w:rPr>
          <w:highlight w:val="none"/>
        </w:rPr>
        <w:t>专项资金细化率</w:t>
      </w:r>
      <w:r>
        <w:rPr>
          <w:rFonts w:hint="eastAsia"/>
          <w:highlight w:val="none"/>
        </w:rPr>
        <w:t>，</w:t>
      </w:r>
      <w:r>
        <w:rPr>
          <w:highlight w:val="none"/>
        </w:rPr>
        <w:t>指标2分，得2分。</w:t>
      </w:r>
    </w:p>
    <w:p>
      <w:pPr>
        <w:pStyle w:val="20"/>
        <w:bidi w:val="0"/>
        <w:jc w:val="both"/>
        <w:rPr>
          <w:highlight w:val="none"/>
        </w:rPr>
      </w:pPr>
      <w:r>
        <w:rPr>
          <w:highlight w:val="none"/>
        </w:rPr>
        <w:t>我</w:t>
      </w:r>
      <w:r>
        <w:rPr>
          <w:rFonts w:hint="eastAsia"/>
          <w:highlight w:val="none"/>
        </w:rPr>
        <w:t>单位</w:t>
      </w:r>
      <w:r>
        <w:rPr>
          <w:rFonts w:hint="eastAsia"/>
          <w:highlight w:val="none"/>
          <w:lang w:eastAsia="zh-CN"/>
        </w:rPr>
        <w:t>2021</w:t>
      </w:r>
      <w:r>
        <w:rPr>
          <w:highlight w:val="none"/>
        </w:rPr>
        <w:t>年的专项资金均已细化至各三级项目，专项资金细化率为100%。</w:t>
      </w:r>
    </w:p>
    <w:p>
      <w:pPr>
        <w:pStyle w:val="20"/>
        <w:bidi w:val="0"/>
        <w:jc w:val="both"/>
        <w:rPr>
          <w:highlight w:val="none"/>
        </w:rPr>
      </w:pPr>
      <w:r>
        <w:rPr>
          <w:rFonts w:hint="eastAsia"/>
          <w:highlight w:val="none"/>
        </w:rPr>
        <w:t>③预算执行率，</w:t>
      </w:r>
      <w:r>
        <w:rPr>
          <w:highlight w:val="none"/>
        </w:rPr>
        <w:t>指标2分，得</w:t>
      </w:r>
      <w:r>
        <w:rPr>
          <w:rFonts w:hint="eastAsia"/>
          <w:highlight w:val="none"/>
          <w:lang w:val="en-US" w:eastAsia="zh-CN"/>
        </w:rPr>
        <w:t>2</w:t>
      </w:r>
      <w:r>
        <w:rPr>
          <w:highlight w:val="none"/>
        </w:rPr>
        <w:t>分。</w:t>
      </w:r>
    </w:p>
    <w:p>
      <w:pPr>
        <w:pStyle w:val="20"/>
        <w:bidi w:val="0"/>
        <w:jc w:val="both"/>
        <w:rPr>
          <w:highlight w:val="yellow"/>
        </w:rPr>
      </w:pPr>
      <w:r>
        <w:rPr>
          <w:rFonts w:hint="eastAsia"/>
          <w:highlight w:val="none"/>
          <w:lang w:eastAsia="zh-CN"/>
        </w:rPr>
        <w:t>2021</w:t>
      </w:r>
      <w:r>
        <w:rPr>
          <w:highlight w:val="none"/>
        </w:rPr>
        <w:t>年我</w:t>
      </w:r>
      <w:r>
        <w:rPr>
          <w:rFonts w:hint="eastAsia"/>
          <w:highlight w:val="none"/>
        </w:rPr>
        <w:t>单位</w:t>
      </w:r>
      <w:r>
        <w:rPr>
          <w:highlight w:val="none"/>
        </w:rPr>
        <w:t>年初预算</w:t>
      </w:r>
      <w:r>
        <w:rPr>
          <w:rFonts w:hint="eastAsia"/>
          <w:highlight w:val="none"/>
          <w:lang w:val="en-US" w:eastAsia="zh-CN"/>
        </w:rPr>
        <w:t>929.45</w:t>
      </w:r>
      <w:r>
        <w:rPr>
          <w:highlight w:val="none"/>
        </w:rPr>
        <w:t>万元，年中追加预算</w:t>
      </w:r>
      <w:r>
        <w:rPr>
          <w:rFonts w:hint="eastAsia"/>
          <w:highlight w:val="none"/>
          <w:lang w:val="en-US" w:eastAsia="zh-CN"/>
        </w:rPr>
        <w:t>105.92</w:t>
      </w:r>
      <w:r>
        <w:rPr>
          <w:highlight w:val="none"/>
        </w:rPr>
        <w:t>万元，全年总预算</w:t>
      </w:r>
      <w:r>
        <w:rPr>
          <w:rFonts w:hint="eastAsia"/>
          <w:color w:val="auto"/>
          <w:highlight w:val="none"/>
          <w:lang w:val="en-US" w:eastAsia="zh-CN"/>
        </w:rPr>
        <w:t>1035.36</w:t>
      </w:r>
      <w:r>
        <w:rPr>
          <w:highlight w:val="none"/>
        </w:rPr>
        <w:t>万元，全年实际执行数</w:t>
      </w:r>
      <w:r>
        <w:rPr>
          <w:rFonts w:hint="eastAsia"/>
          <w:color w:val="auto"/>
          <w:highlight w:val="none"/>
          <w:lang w:val="en-US" w:eastAsia="zh-CN"/>
        </w:rPr>
        <w:t>1035.36</w:t>
      </w:r>
      <w:r>
        <w:rPr>
          <w:highlight w:val="none"/>
        </w:rPr>
        <w:t>万元，预算执行率</w:t>
      </w:r>
      <w:r>
        <w:rPr>
          <w:rFonts w:hint="eastAsia"/>
          <w:color w:val="auto"/>
          <w:highlight w:val="none"/>
          <w:lang w:val="en-US" w:eastAsia="zh-CN"/>
        </w:rPr>
        <w:t>100%</w:t>
      </w:r>
      <w:r>
        <w:rPr>
          <w:rFonts w:hint="eastAsia"/>
          <w:highlight w:val="none"/>
        </w:rPr>
        <w:t>。</w:t>
      </w:r>
    </w:p>
    <w:p>
      <w:pPr>
        <w:pStyle w:val="20"/>
        <w:bidi w:val="0"/>
        <w:jc w:val="both"/>
        <w:rPr>
          <w:color w:val="auto"/>
          <w:highlight w:val="none"/>
        </w:rPr>
      </w:pPr>
      <w:r>
        <w:rPr>
          <w:rFonts w:hint="eastAsia"/>
          <w:color w:val="auto"/>
          <w:highlight w:val="none"/>
        </w:rPr>
        <w:t>④预算调整率，</w:t>
      </w:r>
      <w:r>
        <w:rPr>
          <w:color w:val="auto"/>
          <w:highlight w:val="none"/>
        </w:rPr>
        <w:t>指标2分，得</w:t>
      </w:r>
      <w:r>
        <w:rPr>
          <w:rFonts w:hint="eastAsia"/>
          <w:color w:val="auto"/>
          <w:highlight w:val="none"/>
          <w:lang w:val="en-US" w:eastAsia="zh-CN"/>
        </w:rPr>
        <w:t>2</w:t>
      </w:r>
      <w:r>
        <w:rPr>
          <w:color w:val="auto"/>
          <w:highlight w:val="none"/>
        </w:rPr>
        <w:t>分。</w:t>
      </w:r>
    </w:p>
    <w:p>
      <w:pPr>
        <w:pStyle w:val="20"/>
        <w:bidi w:val="0"/>
        <w:jc w:val="both"/>
        <w:rPr>
          <w:color w:val="auto"/>
          <w:highlight w:val="none"/>
        </w:rPr>
      </w:pPr>
      <w:r>
        <w:rPr>
          <w:rFonts w:hint="eastAsia"/>
          <w:color w:val="auto"/>
          <w:highlight w:val="none"/>
          <w:lang w:eastAsia="zh-CN"/>
        </w:rPr>
        <w:t>2021</w:t>
      </w:r>
      <w:r>
        <w:rPr>
          <w:color w:val="auto"/>
          <w:highlight w:val="none"/>
        </w:rPr>
        <w:t>年我</w:t>
      </w:r>
      <w:r>
        <w:rPr>
          <w:rFonts w:hint="eastAsia"/>
          <w:color w:val="auto"/>
          <w:highlight w:val="none"/>
        </w:rPr>
        <w:t>单位</w:t>
      </w:r>
      <w:r>
        <w:rPr>
          <w:color w:val="auto"/>
          <w:highlight w:val="none"/>
        </w:rPr>
        <w:t>年初预算</w:t>
      </w:r>
      <w:r>
        <w:rPr>
          <w:rFonts w:hint="eastAsia"/>
          <w:color w:val="auto"/>
          <w:highlight w:val="none"/>
          <w:lang w:val="en-US" w:eastAsia="zh-CN"/>
        </w:rPr>
        <w:t>929.45</w:t>
      </w:r>
      <w:r>
        <w:rPr>
          <w:color w:val="auto"/>
          <w:highlight w:val="none"/>
        </w:rPr>
        <w:t>万元，全年总预算</w:t>
      </w:r>
      <w:r>
        <w:rPr>
          <w:rFonts w:hint="eastAsia"/>
          <w:color w:val="auto"/>
          <w:highlight w:val="none"/>
          <w:lang w:val="en-US" w:eastAsia="zh-CN"/>
        </w:rPr>
        <w:t>1035.36</w:t>
      </w:r>
      <w:r>
        <w:rPr>
          <w:color w:val="auto"/>
          <w:highlight w:val="none"/>
        </w:rPr>
        <w:t>万元，增加金额</w:t>
      </w:r>
      <w:r>
        <w:rPr>
          <w:rFonts w:hint="eastAsia"/>
          <w:color w:val="auto"/>
          <w:highlight w:val="none"/>
          <w:lang w:val="en-US" w:eastAsia="zh-CN"/>
        </w:rPr>
        <w:t>105.92</w:t>
      </w:r>
      <w:r>
        <w:rPr>
          <w:color w:val="auto"/>
          <w:highlight w:val="none"/>
        </w:rPr>
        <w:t>万元。预算调整率</w:t>
      </w:r>
      <w:r>
        <w:rPr>
          <w:rFonts w:hint="eastAsia"/>
          <w:color w:val="auto"/>
          <w:highlight w:val="none"/>
          <w:lang w:val="en-US" w:eastAsia="zh-CN"/>
        </w:rPr>
        <w:t>11.40%</w:t>
      </w:r>
      <w:r>
        <w:rPr>
          <w:rFonts w:hint="eastAsia"/>
          <w:color w:val="auto"/>
          <w:highlight w:val="none"/>
        </w:rPr>
        <w:t>。</w:t>
      </w:r>
    </w:p>
    <w:p>
      <w:pPr>
        <w:pStyle w:val="20"/>
        <w:bidi w:val="0"/>
        <w:jc w:val="both"/>
        <w:rPr>
          <w:highlight w:val="none"/>
        </w:rPr>
      </w:pPr>
      <w:r>
        <w:rPr>
          <w:rFonts w:hint="eastAsia"/>
          <w:highlight w:val="none"/>
        </w:rPr>
        <w:t>⑤结转结余率，</w:t>
      </w:r>
      <w:r>
        <w:rPr>
          <w:highlight w:val="none"/>
        </w:rPr>
        <w:t>指标</w:t>
      </w:r>
      <w:r>
        <w:rPr>
          <w:rFonts w:hint="eastAsia"/>
          <w:highlight w:val="none"/>
        </w:rPr>
        <w:t>1</w:t>
      </w:r>
      <w:r>
        <w:rPr>
          <w:highlight w:val="none"/>
        </w:rPr>
        <w:t>分，得</w:t>
      </w:r>
      <w:r>
        <w:rPr>
          <w:rFonts w:hint="eastAsia"/>
          <w:highlight w:val="none"/>
          <w:lang w:val="en-US" w:eastAsia="zh-CN"/>
        </w:rPr>
        <w:t>1</w:t>
      </w:r>
      <w:r>
        <w:rPr>
          <w:highlight w:val="none"/>
        </w:rPr>
        <w:t>分。</w:t>
      </w:r>
    </w:p>
    <w:p>
      <w:pPr>
        <w:pStyle w:val="20"/>
        <w:bidi w:val="0"/>
        <w:jc w:val="both"/>
        <w:rPr>
          <w:color w:val="auto"/>
          <w:highlight w:val="none"/>
        </w:rPr>
      </w:pPr>
      <w:r>
        <w:rPr>
          <w:rFonts w:hint="eastAsia"/>
          <w:highlight w:val="none"/>
          <w:lang w:eastAsia="zh-CN"/>
        </w:rPr>
        <w:t>2021</w:t>
      </w:r>
      <w:r>
        <w:rPr>
          <w:highlight w:val="none"/>
        </w:rPr>
        <w:t>年我</w:t>
      </w:r>
      <w:r>
        <w:rPr>
          <w:rFonts w:hint="eastAsia"/>
          <w:highlight w:val="none"/>
        </w:rPr>
        <w:t>单位</w:t>
      </w:r>
      <w:r>
        <w:rPr>
          <w:highlight w:val="none"/>
        </w:rPr>
        <w:t>全年总预算</w:t>
      </w:r>
      <w:r>
        <w:rPr>
          <w:rFonts w:hint="eastAsia"/>
          <w:color w:val="auto"/>
          <w:highlight w:val="none"/>
          <w:lang w:val="en-US" w:eastAsia="zh-CN"/>
        </w:rPr>
        <w:t>1035.36</w:t>
      </w:r>
      <w:r>
        <w:rPr>
          <w:color w:val="auto"/>
          <w:highlight w:val="none"/>
        </w:rPr>
        <w:t>万元，年底结余</w:t>
      </w:r>
      <w:r>
        <w:rPr>
          <w:rFonts w:hint="eastAsia"/>
          <w:color w:val="auto"/>
          <w:highlight w:val="none"/>
          <w:lang w:val="en-US" w:eastAsia="zh-CN"/>
        </w:rPr>
        <w:t>0</w:t>
      </w:r>
      <w:r>
        <w:rPr>
          <w:rFonts w:hint="eastAsia"/>
          <w:color w:val="auto"/>
          <w:highlight w:val="none"/>
        </w:rPr>
        <w:t>万</w:t>
      </w:r>
      <w:r>
        <w:rPr>
          <w:color w:val="auto"/>
          <w:highlight w:val="none"/>
        </w:rPr>
        <w:t>元，结转结余</w:t>
      </w:r>
      <w:r>
        <w:rPr>
          <w:rFonts w:hint="eastAsia"/>
          <w:color w:val="auto"/>
          <w:highlight w:val="none"/>
        </w:rPr>
        <w:t>率</w:t>
      </w:r>
      <w:r>
        <w:rPr>
          <w:rFonts w:hint="eastAsia"/>
          <w:color w:val="auto"/>
          <w:highlight w:val="none"/>
          <w:lang w:val="en-US" w:eastAsia="zh-CN"/>
        </w:rPr>
        <w:t>0</w:t>
      </w:r>
      <w:r>
        <w:rPr>
          <w:color w:val="auto"/>
          <w:highlight w:val="none"/>
        </w:rPr>
        <w:t>。</w:t>
      </w:r>
    </w:p>
    <w:p>
      <w:pPr>
        <w:pStyle w:val="20"/>
        <w:bidi w:val="0"/>
        <w:jc w:val="both"/>
        <w:rPr>
          <w:color w:val="auto"/>
          <w:highlight w:val="none"/>
        </w:rPr>
      </w:pPr>
      <w:r>
        <w:rPr>
          <w:rFonts w:hint="eastAsia"/>
          <w:color w:val="auto"/>
          <w:highlight w:val="none"/>
        </w:rPr>
        <w:t>⑥“三公经费”控制率，</w:t>
      </w:r>
      <w:r>
        <w:rPr>
          <w:color w:val="auto"/>
          <w:highlight w:val="none"/>
        </w:rPr>
        <w:t>指标</w:t>
      </w:r>
      <w:r>
        <w:rPr>
          <w:rFonts w:hint="eastAsia"/>
          <w:color w:val="auto"/>
          <w:highlight w:val="none"/>
        </w:rPr>
        <w:t>1</w:t>
      </w:r>
      <w:r>
        <w:rPr>
          <w:color w:val="auto"/>
          <w:highlight w:val="none"/>
        </w:rPr>
        <w:t>分，得</w:t>
      </w:r>
      <w:r>
        <w:rPr>
          <w:rFonts w:hint="eastAsia"/>
          <w:color w:val="auto"/>
          <w:highlight w:val="none"/>
        </w:rPr>
        <w:t>1</w:t>
      </w:r>
      <w:r>
        <w:rPr>
          <w:color w:val="auto"/>
          <w:highlight w:val="none"/>
        </w:rPr>
        <w:t>分。</w:t>
      </w:r>
    </w:p>
    <w:p>
      <w:pPr>
        <w:pStyle w:val="20"/>
        <w:bidi w:val="0"/>
        <w:jc w:val="both"/>
        <w:rPr>
          <w:color w:val="auto"/>
          <w:highlight w:val="none"/>
        </w:rPr>
      </w:pPr>
      <w:r>
        <w:rPr>
          <w:color w:val="auto"/>
          <w:highlight w:val="none"/>
        </w:rPr>
        <w:t>我</w:t>
      </w:r>
      <w:r>
        <w:rPr>
          <w:rFonts w:hint="eastAsia"/>
          <w:color w:val="auto"/>
          <w:highlight w:val="none"/>
        </w:rPr>
        <w:t>单位</w:t>
      </w:r>
      <w:r>
        <w:rPr>
          <w:rFonts w:hint="eastAsia"/>
          <w:color w:val="auto"/>
          <w:highlight w:val="none"/>
          <w:lang w:eastAsia="zh-CN"/>
        </w:rPr>
        <w:t>2021</w:t>
      </w:r>
      <w:r>
        <w:rPr>
          <w:color w:val="auto"/>
          <w:highlight w:val="none"/>
        </w:rPr>
        <w:t>年三公</w:t>
      </w:r>
      <w:r>
        <w:rPr>
          <w:rFonts w:hint="eastAsia"/>
          <w:color w:val="auto"/>
          <w:highlight w:val="none"/>
        </w:rPr>
        <w:t>预算数</w:t>
      </w:r>
      <w:r>
        <w:rPr>
          <w:rFonts w:hint="eastAsia"/>
          <w:color w:val="auto"/>
          <w:highlight w:val="none"/>
          <w:lang w:val="en-US" w:eastAsia="zh-CN"/>
        </w:rPr>
        <w:t>22.70万</w:t>
      </w:r>
      <w:r>
        <w:rPr>
          <w:color w:val="auto"/>
          <w:highlight w:val="none"/>
        </w:rPr>
        <w:t>元，</w:t>
      </w:r>
      <w:r>
        <w:rPr>
          <w:rFonts w:hint="eastAsia"/>
          <w:color w:val="auto"/>
          <w:highlight w:val="none"/>
          <w:lang w:eastAsia="zh-CN"/>
        </w:rPr>
        <w:t>2021</w:t>
      </w:r>
      <w:r>
        <w:rPr>
          <w:color w:val="auto"/>
          <w:highlight w:val="none"/>
        </w:rPr>
        <w:t>年三公经费</w:t>
      </w:r>
      <w:r>
        <w:rPr>
          <w:rFonts w:hint="eastAsia"/>
          <w:color w:val="auto"/>
          <w:highlight w:val="none"/>
        </w:rPr>
        <w:t>执行数</w:t>
      </w:r>
      <w:r>
        <w:rPr>
          <w:rFonts w:hint="eastAsia"/>
          <w:color w:val="auto"/>
          <w:highlight w:val="none"/>
          <w:lang w:val="en-US" w:eastAsia="zh-CN"/>
        </w:rPr>
        <w:t>11.42万</w:t>
      </w:r>
      <w:r>
        <w:rPr>
          <w:color w:val="auto"/>
          <w:highlight w:val="none"/>
        </w:rPr>
        <w:t>元，</w:t>
      </w:r>
      <w:r>
        <w:rPr>
          <w:rFonts w:hint="eastAsia"/>
          <w:color w:val="auto"/>
          <w:highlight w:val="none"/>
        </w:rPr>
        <w:t>控制率</w:t>
      </w:r>
      <w:r>
        <w:rPr>
          <w:rFonts w:hint="eastAsia"/>
          <w:color w:val="auto"/>
          <w:highlight w:val="none"/>
          <w:lang w:val="en-US" w:eastAsia="zh-CN"/>
        </w:rPr>
        <w:t>50.31%</w:t>
      </w:r>
      <w:r>
        <w:rPr>
          <w:color w:val="auto"/>
          <w:highlight w:val="none"/>
        </w:rPr>
        <w:t>。</w:t>
      </w:r>
    </w:p>
    <w:p>
      <w:pPr>
        <w:pStyle w:val="20"/>
        <w:bidi w:val="0"/>
        <w:jc w:val="both"/>
        <w:rPr>
          <w:color w:val="auto"/>
          <w:highlight w:val="none"/>
        </w:rPr>
      </w:pPr>
      <w:r>
        <w:rPr>
          <w:rFonts w:hint="eastAsia"/>
          <w:color w:val="auto"/>
          <w:highlight w:val="none"/>
        </w:rPr>
        <w:t>⑦政府采购执行率，</w:t>
      </w:r>
      <w:r>
        <w:rPr>
          <w:color w:val="auto"/>
          <w:highlight w:val="none"/>
        </w:rPr>
        <w:t>指标</w:t>
      </w:r>
      <w:r>
        <w:rPr>
          <w:rFonts w:hint="eastAsia"/>
          <w:color w:val="auto"/>
          <w:highlight w:val="none"/>
        </w:rPr>
        <w:t>1</w:t>
      </w:r>
      <w:r>
        <w:rPr>
          <w:color w:val="auto"/>
          <w:highlight w:val="none"/>
        </w:rPr>
        <w:t>分，得</w:t>
      </w:r>
      <w:r>
        <w:rPr>
          <w:rFonts w:hint="eastAsia"/>
          <w:color w:val="auto"/>
          <w:highlight w:val="none"/>
        </w:rPr>
        <w:t>1</w:t>
      </w:r>
      <w:r>
        <w:rPr>
          <w:color w:val="auto"/>
          <w:highlight w:val="none"/>
        </w:rPr>
        <w:t>分。</w:t>
      </w:r>
    </w:p>
    <w:p>
      <w:pPr>
        <w:pStyle w:val="20"/>
        <w:bidi w:val="0"/>
        <w:jc w:val="both"/>
        <w:rPr>
          <w:color w:val="auto"/>
          <w:highlight w:val="none"/>
        </w:rPr>
      </w:pPr>
      <w:r>
        <w:rPr>
          <w:color w:val="auto"/>
          <w:highlight w:val="none"/>
        </w:rPr>
        <w:t>我</w:t>
      </w:r>
      <w:r>
        <w:rPr>
          <w:rFonts w:hint="eastAsia"/>
          <w:color w:val="auto"/>
          <w:highlight w:val="none"/>
        </w:rPr>
        <w:t>单位</w:t>
      </w:r>
      <w:r>
        <w:rPr>
          <w:rFonts w:hint="eastAsia"/>
          <w:color w:val="auto"/>
          <w:highlight w:val="none"/>
          <w:lang w:eastAsia="zh-CN"/>
        </w:rPr>
        <w:t>2021</w:t>
      </w:r>
      <w:r>
        <w:rPr>
          <w:color w:val="auto"/>
          <w:highlight w:val="none"/>
        </w:rPr>
        <w:t>年计划采购项目</w:t>
      </w:r>
      <w:r>
        <w:rPr>
          <w:rFonts w:hint="eastAsia"/>
          <w:color w:val="auto"/>
          <w:highlight w:val="none"/>
          <w:lang w:val="en-US" w:eastAsia="zh-CN"/>
        </w:rPr>
        <w:t>均已完成</w:t>
      </w:r>
      <w:r>
        <w:rPr>
          <w:color w:val="auto"/>
          <w:highlight w:val="none"/>
        </w:rPr>
        <w:t>，政府采购执行率</w:t>
      </w:r>
      <w:r>
        <w:rPr>
          <w:rFonts w:hint="eastAsia"/>
          <w:color w:val="auto"/>
          <w:highlight w:val="none"/>
          <w:lang w:val="en-US" w:eastAsia="zh-CN"/>
        </w:rPr>
        <w:t>100%</w:t>
      </w:r>
      <w:r>
        <w:rPr>
          <w:color w:val="auto"/>
          <w:highlight w:val="none"/>
        </w:rPr>
        <w:t>。</w:t>
      </w:r>
    </w:p>
    <w:p>
      <w:pPr>
        <w:pStyle w:val="20"/>
        <w:bidi w:val="0"/>
        <w:jc w:val="both"/>
        <w:rPr>
          <w:highlight w:val="none"/>
        </w:rPr>
      </w:pPr>
      <w:r>
        <w:rPr>
          <w:rFonts w:hint="eastAsia"/>
        </w:rPr>
        <w:t>⑧决算真实性，</w:t>
      </w:r>
      <w:r>
        <w:rPr>
          <w:highlight w:val="none"/>
        </w:rPr>
        <w:t>指标</w:t>
      </w:r>
      <w:r>
        <w:rPr>
          <w:rFonts w:hint="eastAsia"/>
          <w:highlight w:val="none"/>
        </w:rPr>
        <w:t>1</w:t>
      </w:r>
      <w:r>
        <w:rPr>
          <w:highlight w:val="none"/>
        </w:rPr>
        <w:t>分，得</w:t>
      </w:r>
      <w:r>
        <w:rPr>
          <w:rFonts w:hint="eastAsia"/>
          <w:highlight w:val="none"/>
        </w:rPr>
        <w:t>1</w:t>
      </w:r>
      <w:r>
        <w:rPr>
          <w:highlight w:val="none"/>
        </w:rPr>
        <w:t>分。</w:t>
      </w:r>
    </w:p>
    <w:p>
      <w:pPr>
        <w:pStyle w:val="20"/>
        <w:bidi w:val="0"/>
        <w:jc w:val="both"/>
      </w:pPr>
      <w:r>
        <w:rPr>
          <w:highlight w:val="none"/>
        </w:rPr>
        <w:t>我</w:t>
      </w:r>
      <w:r>
        <w:rPr>
          <w:rFonts w:hint="eastAsia"/>
          <w:highlight w:val="none"/>
        </w:rPr>
        <w:t>单位</w:t>
      </w:r>
      <w:r>
        <w:rPr>
          <w:rFonts w:hint="eastAsia"/>
          <w:highlight w:val="none"/>
          <w:lang w:eastAsia="zh-CN"/>
        </w:rPr>
        <w:t>2021</w:t>
      </w:r>
      <w:r>
        <w:rPr>
          <w:highlight w:val="none"/>
        </w:rPr>
        <w:t>年决算</w:t>
      </w:r>
      <w:r>
        <w:t>编制数据</w:t>
      </w:r>
      <w:r>
        <w:rPr>
          <w:rFonts w:hint="eastAsia"/>
        </w:rPr>
        <w:t>真实，</w:t>
      </w:r>
      <w:r>
        <w:t>决算报表数据与会计账簿数据一致。</w:t>
      </w:r>
    </w:p>
    <w:p>
      <w:pPr>
        <w:pStyle w:val="20"/>
        <w:bidi w:val="0"/>
        <w:jc w:val="both"/>
        <w:rPr>
          <w:highlight w:val="yellow"/>
        </w:rPr>
      </w:pPr>
      <w:r>
        <w:rPr>
          <w:rFonts w:hint="eastAsia"/>
        </w:rPr>
        <w:t>⑨资金使用合规性</w:t>
      </w:r>
      <w:r>
        <w:rPr>
          <w:rFonts w:hint="eastAsia"/>
          <w:highlight w:val="none"/>
        </w:rPr>
        <w:t>，</w:t>
      </w:r>
      <w:r>
        <w:rPr>
          <w:highlight w:val="none"/>
        </w:rPr>
        <w:t>指标</w:t>
      </w:r>
      <w:r>
        <w:rPr>
          <w:rFonts w:hint="eastAsia"/>
          <w:highlight w:val="none"/>
        </w:rPr>
        <w:t>2</w:t>
      </w:r>
      <w:r>
        <w:rPr>
          <w:highlight w:val="none"/>
        </w:rPr>
        <w:t>分，得</w:t>
      </w:r>
      <w:r>
        <w:rPr>
          <w:rFonts w:hint="eastAsia"/>
          <w:highlight w:val="none"/>
        </w:rPr>
        <w:t>2</w:t>
      </w:r>
      <w:r>
        <w:rPr>
          <w:highlight w:val="none"/>
        </w:rPr>
        <w:t>分。</w:t>
      </w:r>
    </w:p>
    <w:p>
      <w:pPr>
        <w:pStyle w:val="20"/>
        <w:bidi w:val="0"/>
        <w:jc w:val="both"/>
      </w:pPr>
      <w:r>
        <w:rPr>
          <w:rFonts w:hint="eastAsia"/>
        </w:rPr>
        <w:t>我单位参照相关国家法律法规，制定了财务管理</w:t>
      </w:r>
      <w:r>
        <w:rPr>
          <w:rFonts w:hint="eastAsia"/>
          <w:lang w:val="en-US" w:eastAsia="zh-CN"/>
        </w:rPr>
        <w:t>等</w:t>
      </w:r>
      <w:r>
        <w:rPr>
          <w:rFonts w:hint="eastAsia"/>
        </w:rPr>
        <w:t>管理办法，且制定了</w:t>
      </w:r>
      <w:r>
        <w:rPr>
          <w:rFonts w:hint="eastAsia"/>
          <w:lang w:val="en-US" w:eastAsia="zh-CN"/>
        </w:rPr>
        <w:t>预算管理制度、合同管理制度、固定资产管理制度、采购管理制度等管理制度</w:t>
      </w:r>
      <w:r>
        <w:t>；资金的拨付有完整的审批程序和手续；项目的重大开支</w:t>
      </w:r>
      <w:r>
        <w:rPr>
          <w:rFonts w:hint="eastAsia"/>
        </w:rPr>
        <w:t>需</w:t>
      </w:r>
      <w:r>
        <w:t>经过评估论证；符合部门预算批复的用途</w:t>
      </w:r>
      <w:r>
        <w:rPr>
          <w:highlight w:val="none"/>
        </w:rPr>
        <w:t>；</w:t>
      </w:r>
      <w:r>
        <w:rPr>
          <w:rFonts w:hint="eastAsia"/>
          <w:highlight w:val="none"/>
          <w:lang w:eastAsia="zh-CN"/>
        </w:rPr>
        <w:t>2021</w:t>
      </w:r>
      <w:r>
        <w:rPr>
          <w:rFonts w:hint="eastAsia"/>
        </w:rPr>
        <w:t>年度资金不</w:t>
      </w:r>
      <w:r>
        <w:t>存在截留支出情况；</w:t>
      </w:r>
      <w:r>
        <w:rPr>
          <w:rFonts w:hint="eastAsia"/>
        </w:rPr>
        <w:t>不</w:t>
      </w:r>
      <w:r>
        <w:t>存在挤占支出情况；</w:t>
      </w:r>
      <w:r>
        <w:rPr>
          <w:rFonts w:hint="eastAsia"/>
        </w:rPr>
        <w:t>不</w:t>
      </w:r>
      <w:r>
        <w:t>存在挪用支出情况；</w:t>
      </w:r>
      <w:r>
        <w:rPr>
          <w:rFonts w:hint="eastAsia"/>
        </w:rPr>
        <w:t>不</w:t>
      </w:r>
      <w:r>
        <w:t>存在虚列支出情况。</w:t>
      </w:r>
    </w:p>
    <w:p>
      <w:pPr>
        <w:pStyle w:val="20"/>
        <w:bidi w:val="0"/>
        <w:jc w:val="both"/>
      </w:pPr>
      <w:r>
        <w:rPr>
          <w:rFonts w:hint="eastAsia"/>
        </w:rPr>
        <w:t>⑩管理制度健全性，</w:t>
      </w:r>
      <w:r>
        <w:rPr>
          <w:highlight w:val="none"/>
        </w:rPr>
        <w:t>指标</w:t>
      </w:r>
      <w:r>
        <w:rPr>
          <w:rFonts w:hint="eastAsia"/>
          <w:highlight w:val="none"/>
        </w:rPr>
        <w:t>1</w:t>
      </w:r>
      <w:r>
        <w:rPr>
          <w:highlight w:val="none"/>
        </w:rPr>
        <w:t>分，得</w:t>
      </w:r>
      <w:r>
        <w:rPr>
          <w:rFonts w:hint="eastAsia"/>
          <w:highlight w:val="none"/>
        </w:rPr>
        <w:t>1</w:t>
      </w:r>
      <w:r>
        <w:rPr>
          <w:highlight w:val="none"/>
        </w:rPr>
        <w:t>分。</w:t>
      </w:r>
    </w:p>
    <w:p>
      <w:pPr>
        <w:pStyle w:val="20"/>
        <w:bidi w:val="0"/>
        <w:jc w:val="both"/>
      </w:pPr>
      <w:r>
        <w:rPr>
          <w:rFonts w:hint="eastAsia"/>
        </w:rPr>
        <w:t>我单位参照相关国家法律法规，制定了财务管理</w:t>
      </w:r>
      <w:r>
        <w:rPr>
          <w:rFonts w:hint="eastAsia"/>
          <w:lang w:val="en-US" w:eastAsia="zh-CN"/>
        </w:rPr>
        <w:t>等</w:t>
      </w:r>
      <w:r>
        <w:rPr>
          <w:rFonts w:hint="eastAsia"/>
        </w:rPr>
        <w:t>管理办法，且制定了</w:t>
      </w:r>
      <w:r>
        <w:rPr>
          <w:rFonts w:hint="eastAsia"/>
          <w:lang w:val="en-US" w:eastAsia="zh-CN"/>
        </w:rPr>
        <w:t>预算管理制度、合同管理制度、固定资产管理制度、采购管理制度等管理制度</w:t>
      </w:r>
      <w:r>
        <w:rPr>
          <w:rFonts w:hint="eastAsia"/>
        </w:rPr>
        <w:t>，</w:t>
      </w:r>
      <w:r>
        <w:rPr>
          <w:rFonts w:hint="eastAsia"/>
          <w:highlight w:val="none"/>
        </w:rPr>
        <w:t>且</w:t>
      </w:r>
      <w:r>
        <w:rPr>
          <w:rFonts w:hint="eastAsia"/>
          <w:highlight w:val="none"/>
          <w:lang w:eastAsia="zh-CN"/>
        </w:rPr>
        <w:t>2021</w:t>
      </w:r>
      <w:r>
        <w:rPr>
          <w:highlight w:val="none"/>
        </w:rPr>
        <w:t>年</w:t>
      </w:r>
      <w:r>
        <w:rPr>
          <w:rFonts w:hint="eastAsia"/>
        </w:rPr>
        <w:t>我</w:t>
      </w:r>
      <w:r>
        <w:t>单位均未发生资金支出、工作执行方面的违规情况，</w:t>
      </w:r>
      <w:r>
        <w:rPr>
          <w:rFonts w:hint="eastAsia"/>
        </w:rPr>
        <w:t>管理制度</w:t>
      </w:r>
      <w:r>
        <w:t>有效。</w:t>
      </w:r>
    </w:p>
    <w:p>
      <w:pPr>
        <w:pStyle w:val="20"/>
        <w:bidi w:val="0"/>
        <w:jc w:val="both"/>
      </w:pPr>
      <w:r>
        <w:rPr>
          <w:rFonts w:hint="eastAsia"/>
        </w:rPr>
        <w:t>⑪预决算信息公开性</w:t>
      </w:r>
      <w:r>
        <w:rPr>
          <w:rFonts w:hint="eastAsia"/>
          <w:highlight w:val="none"/>
        </w:rPr>
        <w:t>，</w:t>
      </w:r>
      <w:r>
        <w:rPr>
          <w:highlight w:val="none"/>
        </w:rPr>
        <w:t>指标</w:t>
      </w:r>
      <w:r>
        <w:rPr>
          <w:rFonts w:hint="eastAsia"/>
          <w:highlight w:val="none"/>
        </w:rPr>
        <w:t>1</w:t>
      </w:r>
      <w:r>
        <w:rPr>
          <w:highlight w:val="none"/>
        </w:rPr>
        <w:t>分，得</w:t>
      </w:r>
      <w:r>
        <w:rPr>
          <w:rFonts w:hint="eastAsia"/>
          <w:highlight w:val="none"/>
        </w:rPr>
        <w:t>1</w:t>
      </w:r>
      <w:r>
        <w:rPr>
          <w:highlight w:val="none"/>
        </w:rPr>
        <w:t>分。</w:t>
      </w:r>
    </w:p>
    <w:p>
      <w:pPr>
        <w:pStyle w:val="20"/>
        <w:bidi w:val="0"/>
        <w:jc w:val="both"/>
        <w:rPr>
          <w:highlight w:val="yellow"/>
        </w:rPr>
      </w:pPr>
      <w:r>
        <w:rPr>
          <w:rFonts w:hint="eastAsia"/>
        </w:rPr>
        <w:t>我单位认真落实《中华人民共和国政府信息公开条例》，</w:t>
      </w:r>
      <w:r>
        <w:t>按照政府信息“公开是原则，不公开是例外”的要求，做到“应公开，尽公开”</w:t>
      </w:r>
      <w:r>
        <w:rPr>
          <w:rFonts w:hint="eastAsia"/>
          <w:highlight w:val="none"/>
        </w:rPr>
        <w:t>，按照要求，及时公开。</w:t>
      </w:r>
    </w:p>
    <w:p>
      <w:pPr>
        <w:pStyle w:val="20"/>
        <w:bidi w:val="0"/>
        <w:jc w:val="both"/>
      </w:pPr>
      <w:r>
        <w:rPr>
          <w:rFonts w:hint="eastAsia"/>
        </w:rPr>
        <w:t>⑫资产管理规范性，</w:t>
      </w:r>
      <w:r>
        <w:rPr>
          <w:highlight w:val="none"/>
        </w:rPr>
        <w:t>指标</w:t>
      </w:r>
      <w:r>
        <w:rPr>
          <w:rFonts w:hint="eastAsia"/>
          <w:highlight w:val="none"/>
        </w:rPr>
        <w:t>1</w:t>
      </w:r>
      <w:r>
        <w:rPr>
          <w:highlight w:val="none"/>
        </w:rPr>
        <w:t>分，得</w:t>
      </w:r>
      <w:r>
        <w:rPr>
          <w:rFonts w:hint="eastAsia"/>
          <w:highlight w:val="none"/>
        </w:rPr>
        <w:t>1</w:t>
      </w:r>
      <w:r>
        <w:rPr>
          <w:highlight w:val="none"/>
        </w:rPr>
        <w:t>分。</w:t>
      </w:r>
    </w:p>
    <w:p>
      <w:pPr>
        <w:pStyle w:val="20"/>
        <w:bidi w:val="0"/>
        <w:jc w:val="both"/>
      </w:pPr>
      <w:r>
        <w:rPr>
          <w:rFonts w:hint="eastAsia"/>
        </w:rPr>
        <w:t>我单位严格按照《国有资产管理内控制度》要求，</w:t>
      </w:r>
      <w:r>
        <w:t>资产配置、使用合规，处置规范，资产及时规范入账，资产报表数据与会计账簿数据相符，资产实物与财务账、资产账相符；新增资产符合规定程序和规定标准，新增资产考虑闲置存量资产；资产对外有偿使用（出租出借等）、对外投资、担保、资产处置等事项按规定报批；资产收益及时足额上交财政。</w:t>
      </w:r>
    </w:p>
    <w:p>
      <w:pPr>
        <w:pStyle w:val="20"/>
        <w:bidi w:val="0"/>
        <w:jc w:val="both"/>
      </w:pPr>
      <w:r>
        <w:rPr>
          <w:rFonts w:hint="eastAsia"/>
        </w:rPr>
        <w:t>（3）绩效管理</w:t>
      </w:r>
    </w:p>
    <w:p>
      <w:pPr>
        <w:pStyle w:val="20"/>
        <w:bidi w:val="0"/>
        <w:jc w:val="both"/>
        <w:rPr>
          <w:highlight w:val="none"/>
        </w:rPr>
      </w:pPr>
      <w:r>
        <w:rPr>
          <w:rFonts w:hint="eastAsia"/>
          <w:highlight w:val="none"/>
        </w:rPr>
        <w:t>①绩效监控完成率，</w:t>
      </w:r>
      <w:r>
        <w:rPr>
          <w:highlight w:val="none"/>
        </w:rPr>
        <w:t>指标</w:t>
      </w:r>
      <w:r>
        <w:rPr>
          <w:rFonts w:hint="eastAsia"/>
          <w:highlight w:val="none"/>
        </w:rPr>
        <w:t>2</w:t>
      </w:r>
      <w:r>
        <w:rPr>
          <w:highlight w:val="none"/>
        </w:rPr>
        <w:t>分，得</w:t>
      </w:r>
      <w:r>
        <w:rPr>
          <w:rFonts w:hint="eastAsia"/>
          <w:highlight w:val="none"/>
          <w:lang w:val="en-US" w:eastAsia="zh-CN"/>
        </w:rPr>
        <w:t>2</w:t>
      </w:r>
      <w:r>
        <w:rPr>
          <w:highlight w:val="none"/>
        </w:rPr>
        <w:t>分。</w:t>
      </w:r>
    </w:p>
    <w:p>
      <w:pPr>
        <w:pStyle w:val="20"/>
        <w:bidi w:val="0"/>
        <w:jc w:val="both"/>
        <w:rPr>
          <w:rFonts w:hint="eastAsia"/>
          <w:highlight w:val="none"/>
          <w:lang w:eastAsia="zh-CN"/>
        </w:rPr>
      </w:pPr>
      <w:r>
        <w:rPr>
          <w:rFonts w:hint="eastAsia"/>
          <w:highlight w:val="none"/>
        </w:rPr>
        <w:t>部门绩效监控完成率=已完成绩效监控项目数量/部门项目总数×100%</w:t>
      </w:r>
      <w:r>
        <w:rPr>
          <w:rFonts w:hint="eastAsia"/>
          <w:highlight w:val="none"/>
          <w:lang w:eastAsia="zh-CN"/>
        </w:rPr>
        <w:t>。</w:t>
      </w:r>
    </w:p>
    <w:p>
      <w:pPr>
        <w:pStyle w:val="20"/>
        <w:bidi w:val="0"/>
        <w:jc w:val="both"/>
        <w:rPr>
          <w:rFonts w:hint="eastAsia"/>
          <w:highlight w:val="none"/>
          <w:lang w:eastAsia="zh-CN"/>
        </w:rPr>
      </w:pPr>
      <w:r>
        <w:rPr>
          <w:rFonts w:hint="eastAsia"/>
          <w:highlight w:val="none"/>
          <w:lang w:eastAsia="zh-CN"/>
        </w:rPr>
        <w:t>2021</w:t>
      </w:r>
      <w:r>
        <w:rPr>
          <w:rFonts w:hint="eastAsia"/>
          <w:highlight w:val="none"/>
        </w:rPr>
        <w:t>年度我单位</w:t>
      </w:r>
      <w:r>
        <w:rPr>
          <w:rFonts w:hint="eastAsia"/>
          <w:highlight w:val="none"/>
          <w:lang w:val="en-US" w:eastAsia="zh-CN"/>
        </w:rPr>
        <w:t>所有项目均已完成监控</w:t>
      </w:r>
      <w:r>
        <w:rPr>
          <w:rFonts w:hint="eastAsia"/>
          <w:highlight w:val="none"/>
        </w:rPr>
        <w:t>。部门绩效监控完成率为</w:t>
      </w:r>
      <w:r>
        <w:rPr>
          <w:rFonts w:hint="eastAsia"/>
          <w:color w:val="auto"/>
          <w:highlight w:val="none"/>
          <w:lang w:val="en-US" w:eastAsia="zh-CN"/>
        </w:rPr>
        <w:t>100%</w:t>
      </w:r>
      <w:r>
        <w:rPr>
          <w:rFonts w:hint="eastAsia"/>
          <w:highlight w:val="none"/>
          <w:lang w:eastAsia="zh-CN"/>
        </w:rPr>
        <w:t>。</w:t>
      </w:r>
    </w:p>
    <w:p>
      <w:pPr>
        <w:pStyle w:val="20"/>
        <w:bidi w:val="0"/>
        <w:jc w:val="both"/>
        <w:rPr>
          <w:highlight w:val="none"/>
        </w:rPr>
      </w:pPr>
      <w:r>
        <w:rPr>
          <w:rFonts w:hint="eastAsia"/>
          <w:highlight w:val="none"/>
        </w:rPr>
        <w:t>②绩效自评完成率，</w:t>
      </w:r>
      <w:r>
        <w:rPr>
          <w:highlight w:val="none"/>
        </w:rPr>
        <w:t>指标</w:t>
      </w:r>
      <w:r>
        <w:rPr>
          <w:rFonts w:hint="eastAsia"/>
          <w:highlight w:val="none"/>
        </w:rPr>
        <w:t>2</w:t>
      </w:r>
      <w:r>
        <w:rPr>
          <w:highlight w:val="none"/>
        </w:rPr>
        <w:t>分，得</w:t>
      </w:r>
      <w:r>
        <w:rPr>
          <w:rFonts w:hint="eastAsia"/>
          <w:highlight w:val="none"/>
        </w:rPr>
        <w:t>2</w:t>
      </w:r>
      <w:r>
        <w:rPr>
          <w:highlight w:val="none"/>
        </w:rPr>
        <w:t>分。</w:t>
      </w:r>
    </w:p>
    <w:p>
      <w:pPr>
        <w:pStyle w:val="20"/>
        <w:bidi w:val="0"/>
        <w:jc w:val="both"/>
        <w:rPr>
          <w:rFonts w:hint="eastAsia"/>
          <w:highlight w:val="none"/>
          <w:lang w:eastAsia="zh-CN"/>
        </w:rPr>
      </w:pPr>
      <w:r>
        <w:rPr>
          <w:rFonts w:hint="eastAsia"/>
          <w:highlight w:val="none"/>
        </w:rPr>
        <w:t>绩效自评完成率=已完成评价项目数量/部门项目总数×100%</w:t>
      </w:r>
      <w:r>
        <w:rPr>
          <w:rFonts w:hint="eastAsia"/>
          <w:highlight w:val="none"/>
          <w:lang w:eastAsia="zh-CN"/>
        </w:rPr>
        <w:t>。</w:t>
      </w:r>
    </w:p>
    <w:p>
      <w:pPr>
        <w:pStyle w:val="20"/>
        <w:bidi w:val="0"/>
        <w:jc w:val="both"/>
        <w:rPr>
          <w:rFonts w:hint="eastAsia"/>
          <w:color w:val="auto"/>
          <w:highlight w:val="none"/>
          <w:lang w:eastAsia="zh-CN"/>
        </w:rPr>
      </w:pPr>
      <w:r>
        <w:rPr>
          <w:rFonts w:hint="eastAsia"/>
          <w:color w:val="auto"/>
          <w:highlight w:val="none"/>
          <w:lang w:eastAsia="zh-CN"/>
        </w:rPr>
        <w:t>2021</w:t>
      </w:r>
      <w:r>
        <w:rPr>
          <w:rFonts w:hint="eastAsia"/>
          <w:color w:val="auto"/>
          <w:highlight w:val="none"/>
        </w:rPr>
        <w:t>年度我单位</w:t>
      </w:r>
      <w:r>
        <w:rPr>
          <w:rFonts w:hint="eastAsia"/>
          <w:color w:val="auto"/>
          <w:highlight w:val="none"/>
          <w:lang w:val="en-US" w:eastAsia="zh-CN"/>
        </w:rPr>
        <w:t>所有项目均已完成自评</w:t>
      </w:r>
      <w:r>
        <w:rPr>
          <w:rFonts w:hint="eastAsia"/>
          <w:color w:val="auto"/>
          <w:highlight w:val="none"/>
        </w:rPr>
        <w:t>。部门绩效自评完成率为</w:t>
      </w:r>
      <w:r>
        <w:rPr>
          <w:rFonts w:hint="eastAsia"/>
          <w:color w:val="auto"/>
          <w:highlight w:val="none"/>
          <w:lang w:val="en-US" w:eastAsia="zh-CN"/>
        </w:rPr>
        <w:t>100%</w:t>
      </w:r>
      <w:r>
        <w:rPr>
          <w:rFonts w:hint="eastAsia"/>
          <w:color w:val="auto"/>
          <w:highlight w:val="none"/>
          <w:lang w:eastAsia="zh-CN"/>
        </w:rPr>
        <w:t>。</w:t>
      </w:r>
    </w:p>
    <w:p>
      <w:pPr>
        <w:pStyle w:val="20"/>
        <w:bidi w:val="0"/>
        <w:jc w:val="both"/>
        <w:rPr>
          <w:highlight w:val="none"/>
        </w:rPr>
      </w:pPr>
      <w:r>
        <w:rPr>
          <w:rFonts w:hint="eastAsia"/>
          <w:highlight w:val="none"/>
        </w:rPr>
        <w:t>③部门绩效评价完成率，</w:t>
      </w:r>
      <w:r>
        <w:rPr>
          <w:highlight w:val="none"/>
        </w:rPr>
        <w:t>指标</w:t>
      </w:r>
      <w:r>
        <w:rPr>
          <w:rFonts w:hint="eastAsia"/>
          <w:highlight w:val="none"/>
        </w:rPr>
        <w:t>2</w:t>
      </w:r>
      <w:r>
        <w:rPr>
          <w:highlight w:val="none"/>
        </w:rPr>
        <w:t>分，得</w:t>
      </w:r>
      <w:r>
        <w:rPr>
          <w:rFonts w:hint="eastAsia"/>
          <w:highlight w:val="none"/>
          <w:lang w:val="en-US" w:eastAsia="zh-CN"/>
        </w:rPr>
        <w:t>2</w:t>
      </w:r>
      <w:r>
        <w:rPr>
          <w:highlight w:val="none"/>
        </w:rPr>
        <w:t>分。</w:t>
      </w:r>
    </w:p>
    <w:p>
      <w:pPr>
        <w:pStyle w:val="20"/>
        <w:bidi w:val="0"/>
        <w:jc w:val="both"/>
        <w:rPr>
          <w:rFonts w:hint="eastAsia"/>
          <w:highlight w:val="none"/>
          <w:lang w:eastAsia="zh-CN"/>
        </w:rPr>
      </w:pPr>
      <w:r>
        <w:rPr>
          <w:highlight w:val="none"/>
        </w:rPr>
        <w:t>部门绩效评价完成率=已完成评价项目数量/部门重点绩效评价项目数×100%</w:t>
      </w:r>
      <w:r>
        <w:rPr>
          <w:rFonts w:hint="eastAsia"/>
          <w:highlight w:val="none"/>
          <w:lang w:eastAsia="zh-CN"/>
        </w:rPr>
        <w:t>。</w:t>
      </w:r>
    </w:p>
    <w:p>
      <w:pPr>
        <w:pStyle w:val="20"/>
        <w:bidi w:val="0"/>
        <w:jc w:val="both"/>
        <w:rPr>
          <w:rFonts w:hint="eastAsia"/>
          <w:highlight w:val="yellow"/>
          <w:lang w:eastAsia="zh-CN"/>
        </w:rPr>
      </w:pPr>
      <w:r>
        <w:rPr>
          <w:rFonts w:hint="eastAsia"/>
          <w:highlight w:val="none"/>
          <w:lang w:eastAsia="zh-CN"/>
        </w:rPr>
        <w:t>2021</w:t>
      </w:r>
      <w:r>
        <w:rPr>
          <w:rFonts w:hint="eastAsia"/>
          <w:highlight w:val="none"/>
        </w:rPr>
        <w:t>年度我单位</w:t>
      </w:r>
      <w:r>
        <w:rPr>
          <w:rFonts w:hint="eastAsia"/>
          <w:highlight w:val="none"/>
          <w:lang w:val="en-US" w:eastAsia="zh-CN"/>
        </w:rPr>
        <w:t>按要求完成</w:t>
      </w:r>
      <w:r>
        <w:rPr>
          <w:highlight w:val="none"/>
        </w:rPr>
        <w:t>部门重点绩效评价</w:t>
      </w:r>
      <w:r>
        <w:rPr>
          <w:rFonts w:hint="eastAsia"/>
          <w:highlight w:val="none"/>
        </w:rPr>
        <w:t>。部门绩效自评完成率为</w:t>
      </w:r>
      <w:r>
        <w:rPr>
          <w:rFonts w:hint="eastAsia"/>
          <w:color w:val="auto"/>
          <w:highlight w:val="none"/>
          <w:lang w:val="en-US" w:eastAsia="zh-CN"/>
        </w:rPr>
        <w:t>100%</w:t>
      </w:r>
      <w:r>
        <w:rPr>
          <w:rFonts w:hint="eastAsia"/>
          <w:highlight w:val="none"/>
          <w:lang w:eastAsia="zh-CN"/>
        </w:rPr>
        <w:t>。</w:t>
      </w:r>
    </w:p>
    <w:p>
      <w:pPr>
        <w:pStyle w:val="20"/>
        <w:bidi w:val="0"/>
        <w:jc w:val="both"/>
        <w:rPr>
          <w:highlight w:val="none"/>
        </w:rPr>
      </w:pPr>
      <w:r>
        <w:rPr>
          <w:rFonts w:hint="eastAsia"/>
          <w:highlight w:val="none"/>
        </w:rPr>
        <w:t>④评价结果应用率，</w:t>
      </w:r>
      <w:r>
        <w:rPr>
          <w:highlight w:val="none"/>
        </w:rPr>
        <w:t>指标</w:t>
      </w:r>
      <w:r>
        <w:rPr>
          <w:rFonts w:hint="eastAsia"/>
          <w:highlight w:val="none"/>
        </w:rPr>
        <w:t>1</w:t>
      </w:r>
      <w:r>
        <w:rPr>
          <w:highlight w:val="none"/>
        </w:rPr>
        <w:t>分，得</w:t>
      </w:r>
      <w:r>
        <w:rPr>
          <w:rFonts w:hint="eastAsia"/>
          <w:highlight w:val="none"/>
          <w:lang w:val="en-US" w:eastAsia="zh-CN"/>
        </w:rPr>
        <w:t>1</w:t>
      </w:r>
      <w:r>
        <w:rPr>
          <w:highlight w:val="none"/>
        </w:rPr>
        <w:t>分。</w:t>
      </w:r>
    </w:p>
    <w:p>
      <w:pPr>
        <w:pStyle w:val="20"/>
        <w:bidi w:val="0"/>
        <w:jc w:val="both"/>
        <w:rPr>
          <w:highlight w:val="none"/>
        </w:rPr>
      </w:pPr>
      <w:r>
        <w:rPr>
          <w:highlight w:val="none"/>
        </w:rPr>
        <w:t>评价结果应用率=评价提出的意见建议采纳数/提出的意见建议总数100%</w:t>
      </w:r>
      <w:r>
        <w:rPr>
          <w:rFonts w:hint="eastAsia"/>
          <w:highlight w:val="none"/>
          <w:lang w:eastAsia="zh-CN"/>
        </w:rPr>
        <w:t>。2021</w:t>
      </w:r>
      <w:r>
        <w:rPr>
          <w:rFonts w:hint="eastAsia"/>
          <w:highlight w:val="none"/>
        </w:rPr>
        <w:t>年度我单位</w:t>
      </w:r>
      <w:r>
        <w:rPr>
          <w:highlight w:val="none"/>
        </w:rPr>
        <w:t>评价结果应用率</w:t>
      </w:r>
      <w:r>
        <w:rPr>
          <w:rFonts w:hint="eastAsia"/>
          <w:highlight w:val="none"/>
          <w:lang w:val="en-US" w:eastAsia="zh-CN"/>
        </w:rPr>
        <w:t>100%</w:t>
      </w:r>
      <w:r>
        <w:rPr>
          <w:rFonts w:hint="eastAsia"/>
          <w:highlight w:val="none"/>
        </w:rPr>
        <w:t>。</w:t>
      </w:r>
    </w:p>
    <w:p>
      <w:pPr>
        <w:pStyle w:val="4"/>
        <w:bidi w:val="0"/>
        <w:jc w:val="both"/>
      </w:pPr>
      <w:r>
        <w:t>2.</w:t>
      </w:r>
      <w:r>
        <w:rPr>
          <w:rFonts w:hint="eastAsia"/>
        </w:rPr>
        <w:t>产出</w:t>
      </w:r>
      <w:r>
        <w:t>指标完成况分析</w:t>
      </w:r>
    </w:p>
    <w:p>
      <w:pPr>
        <w:pStyle w:val="20"/>
        <w:bidi w:val="0"/>
        <w:jc w:val="both"/>
      </w:pPr>
      <w:r>
        <w:rPr>
          <w:rFonts w:hint="eastAsia"/>
        </w:rPr>
        <w:t>（1）</w:t>
      </w:r>
      <w:r>
        <w:t>重点工作任务完成</w:t>
      </w:r>
    </w:p>
    <w:p>
      <w:pPr>
        <w:keepNext w:val="0"/>
        <w:keepLines w:val="0"/>
        <w:pageBreakBefore w:val="0"/>
        <w:widowControl w:val="0"/>
        <w:kinsoku/>
        <w:wordWrap/>
        <w:overflowPunct/>
        <w:topLinePunct w:val="0"/>
        <w:autoSpaceDE/>
        <w:autoSpaceDN/>
        <w:bidi w:val="0"/>
        <w:adjustRightInd/>
        <w:snapToGrid/>
        <w:spacing w:line="640" w:lineRule="exact"/>
        <w:ind w:firstLine="640"/>
        <w:textAlignment w:val="auto"/>
        <w:rPr>
          <w:rFonts w:hint="eastAsia"/>
          <w:color w:val="auto"/>
          <w:highlight w:val="none"/>
          <w:lang w:eastAsia="zh-CN"/>
        </w:rPr>
      </w:pPr>
      <w:r>
        <w:rPr>
          <w:rFonts w:hint="eastAsia"/>
          <w:color w:val="auto"/>
          <w:highlight w:val="none"/>
        </w:rPr>
        <w:t>①统战特需活动</w:t>
      </w:r>
      <w:r>
        <w:rPr>
          <w:rFonts w:hint="eastAsia"/>
          <w:color w:val="auto"/>
          <w:highlight w:val="none"/>
          <w:lang w:val="en-US" w:eastAsia="zh-CN"/>
        </w:rPr>
        <w:t>计划</w:t>
      </w:r>
      <w:r>
        <w:rPr>
          <w:rFonts w:hint="eastAsia"/>
          <w:color w:val="auto"/>
          <w:highlight w:val="none"/>
        </w:rPr>
        <w:t>完成率</w:t>
      </w:r>
      <w:r>
        <w:rPr>
          <w:rFonts w:hint="eastAsia"/>
          <w:color w:val="auto"/>
          <w:highlight w:val="none"/>
          <w:lang w:val="en-US" w:eastAsia="zh-CN"/>
        </w:rPr>
        <w:t>100%</w:t>
      </w:r>
      <w:r>
        <w:rPr>
          <w:rFonts w:hint="eastAsia"/>
          <w:color w:val="auto"/>
          <w:highlight w:val="none"/>
        </w:rPr>
        <w:t>，统战特需活动</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实际完成率100%，推动海外统战和侨务工作创新发展，积极扩大对外交流。积极参与“老家河南”品牌打造，鼓励支持河南籍、三门峡籍海外侨团开展黄河文化展示活动。</w:t>
      </w:r>
      <w:r>
        <w:rPr>
          <w:color w:val="auto"/>
          <w:highlight w:val="none"/>
        </w:rPr>
        <w:t>指标</w:t>
      </w:r>
      <w:r>
        <w:rPr>
          <w:rFonts w:hint="eastAsia"/>
          <w:color w:val="auto"/>
          <w:highlight w:val="none"/>
          <w:lang w:val="en-US" w:eastAsia="zh-CN"/>
        </w:rPr>
        <w:t>2</w:t>
      </w:r>
      <w:r>
        <w:rPr>
          <w:color w:val="auto"/>
          <w:highlight w:val="none"/>
        </w:rPr>
        <w:t>分，得</w:t>
      </w:r>
      <w:r>
        <w:rPr>
          <w:rFonts w:hint="eastAsia"/>
          <w:color w:val="auto"/>
          <w:highlight w:val="none"/>
          <w:lang w:val="en-US" w:eastAsia="zh-CN"/>
        </w:rPr>
        <w:t>2</w:t>
      </w:r>
      <w:r>
        <w:rPr>
          <w:color w:val="auto"/>
          <w:highlight w:val="none"/>
        </w:rPr>
        <w:t>分。</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宋体" w:hAnsi="宋体" w:eastAsia="仿宋" w:cs="Times New Roman"/>
          <w:color w:val="auto"/>
          <w:kern w:val="2"/>
          <w:sz w:val="32"/>
          <w:szCs w:val="32"/>
          <w:highlight w:val="none"/>
          <w:lang w:val="en-US" w:eastAsia="zh-CN" w:bidi="ar-SA"/>
        </w:rPr>
      </w:pPr>
      <w:r>
        <w:rPr>
          <w:rFonts w:hint="eastAsia"/>
          <w:color w:val="auto"/>
          <w:highlight w:val="none"/>
        </w:rPr>
        <w:t>②推动宗教治理由治标向治本深化</w:t>
      </w:r>
      <w:r>
        <w:rPr>
          <w:rFonts w:hint="eastAsia"/>
          <w:color w:val="auto"/>
          <w:highlight w:val="none"/>
          <w:lang w:val="en-US" w:eastAsia="zh-CN"/>
        </w:rPr>
        <w:t>计划</w:t>
      </w:r>
      <w:r>
        <w:rPr>
          <w:rFonts w:hint="eastAsia"/>
          <w:color w:val="auto"/>
          <w:highlight w:val="none"/>
        </w:rPr>
        <w:t>完成率</w:t>
      </w:r>
      <w:r>
        <w:rPr>
          <w:rFonts w:hint="eastAsia"/>
          <w:color w:val="auto"/>
          <w:highlight w:val="none"/>
          <w:lang w:val="en-US" w:eastAsia="zh-CN"/>
        </w:rPr>
        <w:t>100%</w:t>
      </w:r>
      <w:r>
        <w:rPr>
          <w:rFonts w:hint="eastAsia"/>
          <w:color w:val="auto"/>
          <w:highlight w:val="none"/>
        </w:rPr>
        <w:t>，推动宗教治理由治标向治本深化</w:t>
      </w:r>
      <w:r>
        <w:rPr>
          <w:rFonts w:hint="eastAsia"/>
          <w:color w:val="auto"/>
          <w:highlight w:val="none"/>
          <w:lang w:eastAsia="zh-CN"/>
        </w:rPr>
        <w:t>实际</w:t>
      </w:r>
      <w:r>
        <w:rPr>
          <w:color w:val="auto"/>
          <w:highlight w:val="none"/>
        </w:rPr>
        <w:t>完成</w:t>
      </w:r>
      <w:r>
        <w:rPr>
          <w:rFonts w:hint="eastAsia" w:ascii="宋体" w:hAnsi="宋体" w:eastAsia="仿宋" w:cs="Times New Roman"/>
          <w:color w:val="auto"/>
          <w:kern w:val="2"/>
          <w:sz w:val="32"/>
          <w:szCs w:val="32"/>
          <w:highlight w:val="none"/>
          <w:lang w:val="en-US" w:eastAsia="zh-CN" w:bidi="ar-SA"/>
        </w:rPr>
        <w:t>率100%，深化宗教工作督查整改，加强源头治理，持续探索宗教中国化途径和方法，夯实宗教工作责任。指标2分，得2分。</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Times New Roman" w:hAnsi="Times New Roman"/>
          <w:color w:val="auto"/>
          <w:highlight w:val="none"/>
          <w:lang w:eastAsia="zh-CN"/>
        </w:rPr>
      </w:pPr>
      <w:r>
        <w:rPr>
          <w:rFonts w:hint="eastAsia" w:ascii="Times New Roman" w:hAnsi="Times New Roman"/>
          <w:color w:val="auto"/>
          <w:highlight w:val="none"/>
        </w:rPr>
        <w:t>③提升多党合作制度效能</w:t>
      </w:r>
      <w:r>
        <w:rPr>
          <w:rFonts w:hint="eastAsia" w:ascii="Times New Roman" w:hAnsi="Times New Roman"/>
          <w:color w:val="auto"/>
          <w:highlight w:val="none"/>
          <w:lang w:val="en-US" w:eastAsia="zh-CN"/>
        </w:rPr>
        <w:t>计划</w:t>
      </w:r>
      <w:r>
        <w:rPr>
          <w:rFonts w:hint="eastAsia" w:ascii="Times New Roman" w:hAnsi="Times New Roman"/>
          <w:color w:val="auto"/>
          <w:highlight w:val="none"/>
        </w:rPr>
        <w:t>完成率</w:t>
      </w:r>
      <w:r>
        <w:rPr>
          <w:rFonts w:hint="eastAsia" w:ascii="Times New Roman" w:hAnsi="Times New Roman"/>
          <w:color w:val="auto"/>
          <w:highlight w:val="none"/>
          <w:lang w:val="en-US" w:eastAsia="zh-CN"/>
        </w:rPr>
        <w:t>100%</w:t>
      </w:r>
      <w:r>
        <w:rPr>
          <w:rFonts w:hint="eastAsia" w:ascii="Times New Roman" w:hAnsi="Times New Roman"/>
          <w:color w:val="auto"/>
          <w:highlight w:val="none"/>
        </w:rPr>
        <w:t>，提升多党合作制度效能</w:t>
      </w:r>
      <w:r>
        <w:rPr>
          <w:rFonts w:hint="eastAsia" w:ascii="Times New Roman" w:hAnsi="Times New Roman"/>
          <w:color w:val="auto"/>
          <w:highlight w:val="none"/>
          <w:lang w:val="en-US" w:eastAsia="zh-CN"/>
        </w:rPr>
        <w:t>实际</w:t>
      </w:r>
      <w:r>
        <w:rPr>
          <w:rFonts w:hint="eastAsia" w:ascii="Times New Roman" w:hAnsi="Times New Roman"/>
          <w:color w:val="auto"/>
          <w:highlight w:val="none"/>
        </w:rPr>
        <w:t>完成率</w:t>
      </w:r>
      <w:r>
        <w:rPr>
          <w:rFonts w:hint="eastAsia" w:ascii="Times New Roman" w:hAnsi="Times New Roman"/>
          <w:color w:val="auto"/>
          <w:highlight w:val="none"/>
          <w:lang w:val="en-US" w:eastAsia="zh-CN"/>
        </w:rPr>
        <w:t>100%，协助做好民主党派换届工作，支持民主党派更好履行职能。协助市委制定并落实年度政党协商计划，落实民主党派市委会直接向中共三门峡市委提出意见建议制度。支持民主党派就经济社会发展重点难点建言献策，支持民主党派做好专项民主监督工作，支持各民主党派开展“一党派一品牌”社会服务活动。</w:t>
      </w:r>
      <w:r>
        <w:rPr>
          <w:rFonts w:hint="eastAsia" w:ascii="Times New Roman" w:hAnsi="Times New Roman"/>
          <w:color w:val="auto"/>
          <w:highlight w:val="none"/>
        </w:rPr>
        <w:t>指标</w:t>
      </w:r>
      <w:r>
        <w:rPr>
          <w:rFonts w:hint="eastAsia" w:ascii="Times New Roman" w:hAnsi="Times New Roman"/>
          <w:color w:val="auto"/>
          <w:highlight w:val="none"/>
          <w:lang w:val="en-US" w:eastAsia="zh-CN"/>
        </w:rPr>
        <w:t>2</w:t>
      </w:r>
      <w:r>
        <w:rPr>
          <w:rFonts w:hint="eastAsia" w:ascii="Times New Roman" w:hAnsi="Times New Roman"/>
          <w:color w:val="auto"/>
          <w:highlight w:val="none"/>
        </w:rPr>
        <w:t>分，得</w:t>
      </w:r>
      <w:r>
        <w:rPr>
          <w:rFonts w:hint="eastAsia" w:ascii="Times New Roman" w:hAnsi="Times New Roman"/>
          <w:color w:val="auto"/>
          <w:highlight w:val="none"/>
          <w:lang w:val="en-US" w:eastAsia="zh-CN"/>
        </w:rPr>
        <w:t>2</w:t>
      </w:r>
      <w:r>
        <w:rPr>
          <w:rFonts w:hint="eastAsia" w:ascii="Times New Roman" w:hAnsi="Times New Roman"/>
          <w:color w:val="auto"/>
          <w:highlight w:val="none"/>
        </w:rPr>
        <w:t>分。</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Times New Roman" w:hAnsi="Times New Roman"/>
          <w:color w:val="auto"/>
          <w:highlight w:val="none"/>
          <w:lang w:val="en-US" w:eastAsia="zh-CN"/>
        </w:rPr>
      </w:pPr>
      <w:r>
        <w:rPr>
          <w:rFonts w:hint="eastAsia" w:ascii="Times New Roman" w:hAnsi="Times New Roman"/>
          <w:color w:val="auto"/>
          <w:highlight w:val="none"/>
          <w:lang w:val="en-US" w:eastAsia="zh-CN"/>
        </w:rPr>
        <w:t>④加强无党派人士、党外知识分子和新的社会阶层人士统战工作计划完成率100%，加强无党派人士、党外知识分子和新的社会阶层人士统战工作实际完成率100%，做好党外知识分子思想政治工作，加强党外知识分子思想引导力度，坚持集中培训教育与日常思想引领相结合，深入落实谈心交流制度；加强无党派人士队伍建设，做好市级党外知识分子联谊会换届工作。开展无党派人士和党外知识分子队伍建设情况调研，加大中青年代表人士发现、培养力度，充实党外知识分子后备力量，提升队伍建设质量；推进新的社会阶层人士统战工作创新发展，推动各县（市、区）成立新的社会阶层人士联谊组织。开展实践创新基地建设“精品工程”，通过典型引领，推动实践创新基地建设规范化、常态化、特色化建设。授牌一批市级新的社会阶层人士统战工作实践创新基地。指标2分，得2分。</w:t>
      </w:r>
    </w:p>
    <w:p>
      <w:pPr>
        <w:pStyle w:val="20"/>
        <w:bidi w:val="0"/>
        <w:jc w:val="both"/>
        <w:rPr>
          <w:rFonts w:hint="eastAsia"/>
          <w:color w:val="auto"/>
          <w:highlight w:val="none"/>
          <w:lang w:eastAsia="zh-CN"/>
        </w:rPr>
      </w:pPr>
      <w:r>
        <w:rPr>
          <w:rFonts w:hint="eastAsia"/>
          <w:color w:val="auto"/>
          <w:highlight w:val="none"/>
        </w:rPr>
        <w:t>⑤加强港澳台统战工作</w:t>
      </w:r>
      <w:r>
        <w:rPr>
          <w:rFonts w:hint="eastAsia"/>
          <w:color w:val="auto"/>
          <w:highlight w:val="none"/>
          <w:lang w:val="en-US" w:eastAsia="zh-CN"/>
        </w:rPr>
        <w:t>计划</w:t>
      </w:r>
      <w:r>
        <w:rPr>
          <w:rFonts w:hint="eastAsia"/>
          <w:color w:val="auto"/>
          <w:highlight w:val="none"/>
        </w:rPr>
        <w:t>完成率</w:t>
      </w:r>
      <w:r>
        <w:rPr>
          <w:rFonts w:hint="eastAsia"/>
          <w:color w:val="auto"/>
          <w:highlight w:val="none"/>
          <w:lang w:val="en-US" w:eastAsia="zh-CN"/>
        </w:rPr>
        <w:t>100%</w:t>
      </w:r>
      <w:r>
        <w:rPr>
          <w:rFonts w:hint="eastAsia"/>
          <w:color w:val="auto"/>
          <w:highlight w:val="none"/>
        </w:rPr>
        <w:t>，加强港澳台统战工作</w:t>
      </w:r>
      <w:r>
        <w:rPr>
          <w:rFonts w:hint="eastAsia"/>
          <w:color w:val="auto"/>
          <w:highlight w:val="none"/>
          <w:lang w:val="en-US" w:eastAsia="zh-CN"/>
        </w:rPr>
        <w:t>实际</w:t>
      </w:r>
      <w:r>
        <w:rPr>
          <w:rFonts w:hint="eastAsia"/>
          <w:color w:val="auto"/>
          <w:highlight w:val="none"/>
        </w:rPr>
        <w:t>完成率</w:t>
      </w:r>
      <w:r>
        <w:rPr>
          <w:rFonts w:hint="eastAsia"/>
          <w:color w:val="auto"/>
          <w:highlight w:val="none"/>
          <w:lang w:val="en-US" w:eastAsia="zh-CN"/>
        </w:rPr>
        <w:t>100%，</w:t>
      </w:r>
      <w:r>
        <w:rPr>
          <w:rFonts w:hint="eastAsia" w:ascii="Times New Roman" w:hAnsi="Times New Roman"/>
          <w:color w:val="auto"/>
          <w:highlight w:val="none"/>
          <w:lang w:val="en-US" w:eastAsia="zh-CN"/>
        </w:rPr>
        <w:t>做好港澳统战工作和对台统战工作，</w:t>
      </w:r>
      <w:r>
        <w:rPr>
          <w:color w:val="auto"/>
          <w:highlight w:val="none"/>
        </w:rPr>
        <w:t>指标2分，得2分。</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Times New Roman" w:hAnsi="Times New Roman"/>
          <w:color w:val="auto"/>
          <w:highlight w:val="none"/>
          <w:lang w:val="en-US" w:eastAsia="zh-CN"/>
        </w:rPr>
      </w:pPr>
      <w:r>
        <w:rPr>
          <w:rFonts w:hint="eastAsia" w:ascii="Times New Roman" w:hAnsi="Times New Roman"/>
          <w:color w:val="auto"/>
          <w:highlight w:val="none"/>
          <w:lang w:val="en-US" w:eastAsia="zh-CN"/>
        </w:rPr>
        <w:t>⑥加强海外统战工作和侨务工作计划完成率100%，加强海外统战工作和侨务工作实际完成率100%，推动海外统战和侨务工作创新发展，积极扩大对外交流。积极参与“老家河南”品牌打造，鼓励支持河南籍、三门峡籍海外侨团开展黄河文化展示活动。指标2分，得2分。</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Times New Roman" w:hAnsi="Times New Roman"/>
          <w:color w:val="auto"/>
          <w:highlight w:val="none"/>
          <w:lang w:val="en-US" w:eastAsia="zh-CN"/>
        </w:rPr>
      </w:pPr>
      <w:r>
        <w:rPr>
          <w:rFonts w:hint="eastAsia" w:ascii="Times New Roman" w:hAnsi="Times New Roman"/>
          <w:color w:val="auto"/>
          <w:highlight w:val="none"/>
          <w:lang w:val="en-US" w:eastAsia="zh-CN"/>
        </w:rPr>
        <w:t>⑦提升党外代表人士队伍建设计划完成率100%，提升党外代表人士队伍建设实际完成率100%，加强党外代表人士队伍建设，进一步加强</w:t>
      </w:r>
      <w:r>
        <w:rPr>
          <w:rFonts w:hint="default" w:ascii="Times New Roman" w:hAnsi="Times New Roman"/>
          <w:color w:val="auto"/>
          <w:highlight w:val="none"/>
          <w:lang w:val="en-US" w:eastAsia="zh-CN"/>
        </w:rPr>
        <w:t>优秀党外</w:t>
      </w:r>
      <w:r>
        <w:rPr>
          <w:rFonts w:hint="eastAsia" w:ascii="Times New Roman" w:hAnsi="Times New Roman"/>
          <w:color w:val="auto"/>
          <w:highlight w:val="none"/>
          <w:lang w:val="en-US" w:eastAsia="zh-CN"/>
        </w:rPr>
        <w:t>后备</w:t>
      </w:r>
      <w:r>
        <w:rPr>
          <w:rFonts w:hint="default" w:ascii="Times New Roman" w:hAnsi="Times New Roman"/>
          <w:color w:val="auto"/>
          <w:highlight w:val="none"/>
          <w:lang w:val="en-US" w:eastAsia="zh-CN"/>
        </w:rPr>
        <w:t>干部</w:t>
      </w:r>
      <w:r>
        <w:rPr>
          <w:rFonts w:hint="eastAsia" w:ascii="Times New Roman" w:hAnsi="Times New Roman"/>
          <w:color w:val="auto"/>
          <w:highlight w:val="none"/>
          <w:lang w:val="en-US" w:eastAsia="zh-CN"/>
        </w:rPr>
        <w:t>队伍建设；完善统一战线各领域工作基础数据，推进民主党派成员、无党派人士、党外知识分子、少数民族人士、宗教界人士、民营经济人士等各领域党外代表人士队伍和统战干部数据库建设。指标2分，得2分。</w:t>
      </w:r>
    </w:p>
    <w:p>
      <w:pPr>
        <w:pStyle w:val="20"/>
        <w:bidi w:val="0"/>
        <w:jc w:val="both"/>
        <w:rPr>
          <w:rFonts w:hint="eastAsia"/>
          <w:highlight w:val="yellow"/>
          <w:lang w:eastAsia="zh-CN"/>
        </w:rPr>
      </w:pPr>
      <w:r>
        <w:rPr>
          <w:highlight w:val="none"/>
        </w:rPr>
        <w:t>年度重点工作</w:t>
      </w:r>
      <w:r>
        <w:rPr>
          <w:rFonts w:hint="eastAsia"/>
          <w:highlight w:val="none"/>
        </w:rPr>
        <w:t>完成情况见附件1：部门整体支出自评表</w:t>
      </w:r>
      <w:r>
        <w:rPr>
          <w:rFonts w:hint="eastAsia"/>
          <w:highlight w:val="none"/>
          <w:lang w:eastAsia="zh-CN"/>
        </w:rPr>
        <w:t>。</w:t>
      </w:r>
    </w:p>
    <w:p>
      <w:pPr>
        <w:pStyle w:val="20"/>
        <w:bidi w:val="0"/>
        <w:jc w:val="both"/>
      </w:pPr>
      <w:r>
        <w:rPr>
          <w:rFonts w:hint="eastAsia"/>
        </w:rPr>
        <w:t>（2）履职目标实现</w:t>
      </w:r>
    </w:p>
    <w:p>
      <w:pPr>
        <w:pStyle w:val="20"/>
        <w:bidi w:val="0"/>
        <w:jc w:val="both"/>
        <w:rPr>
          <w:rFonts w:hint="eastAsia" w:ascii="宋体" w:hAnsi="宋体" w:cs="Times New Roman"/>
          <w:highlight w:val="none"/>
          <w:lang w:eastAsia="zh-CN"/>
        </w:rPr>
      </w:pPr>
      <w:r>
        <w:rPr>
          <w:rFonts w:hint="eastAsia" w:ascii="宋体" w:hAnsi="宋体" w:cs="Times New Roman"/>
          <w:highlight w:val="none"/>
        </w:rPr>
        <w:t>①围绕中心大局凝心聚力目标</w:t>
      </w:r>
      <w:r>
        <w:rPr>
          <w:rFonts w:hint="eastAsia" w:ascii="宋体" w:hAnsi="宋体" w:cs="Times New Roman"/>
          <w:highlight w:val="none"/>
          <w:lang w:val="en-US" w:eastAsia="zh-CN"/>
        </w:rPr>
        <w:t>计划</w:t>
      </w:r>
      <w:r>
        <w:rPr>
          <w:rFonts w:hint="eastAsia" w:ascii="宋体" w:hAnsi="宋体" w:cs="Times New Roman"/>
          <w:highlight w:val="none"/>
        </w:rPr>
        <w:t>实现率</w:t>
      </w:r>
      <w:r>
        <w:rPr>
          <w:rFonts w:hint="eastAsia" w:ascii="宋体" w:hAnsi="宋体" w:cs="Times New Roman"/>
          <w:highlight w:val="none"/>
          <w:lang w:val="en-US" w:eastAsia="zh-CN"/>
        </w:rPr>
        <w:t>100%，</w:t>
      </w:r>
      <w:r>
        <w:rPr>
          <w:rFonts w:hint="eastAsia" w:ascii="宋体" w:hAnsi="宋体" w:cs="Times New Roman"/>
          <w:highlight w:val="none"/>
        </w:rPr>
        <w:t>围绕中心大局凝心聚力目标</w:t>
      </w:r>
      <w:r>
        <w:rPr>
          <w:rFonts w:hint="eastAsia" w:ascii="宋体" w:hAnsi="宋体" w:cs="Times New Roman"/>
          <w:highlight w:val="none"/>
          <w:lang w:val="en-US" w:eastAsia="zh-CN"/>
        </w:rPr>
        <w:t>实际</w:t>
      </w:r>
      <w:r>
        <w:rPr>
          <w:rFonts w:hint="eastAsia" w:ascii="宋体" w:hAnsi="宋体" w:cs="Times New Roman"/>
          <w:highlight w:val="none"/>
        </w:rPr>
        <w:t>实现率</w:t>
      </w:r>
      <w:r>
        <w:rPr>
          <w:rFonts w:hint="eastAsia" w:ascii="宋体" w:hAnsi="宋体" w:cs="Times New Roman"/>
          <w:highlight w:val="none"/>
          <w:lang w:val="en-US" w:eastAsia="zh-CN"/>
        </w:rPr>
        <w:t>100%，</w:t>
      </w:r>
      <w:r>
        <w:rPr>
          <w:rFonts w:hint="eastAsia" w:ascii="宋体" w:hAnsi="宋体" w:cs="Times New Roman"/>
          <w:highlight w:val="none"/>
          <w:lang w:eastAsia="zh-CN"/>
        </w:rPr>
        <w:t>推进筑牢中华民族共同体意识宣传教育和政策落实，促进各民族交往交流交融。</w:t>
      </w:r>
      <w:r>
        <w:rPr>
          <w:rFonts w:ascii="宋体" w:hAnsi="宋体" w:cs="Times New Roman"/>
          <w:highlight w:val="none"/>
        </w:rPr>
        <w:t>指标</w:t>
      </w:r>
      <w:r>
        <w:rPr>
          <w:rFonts w:hint="eastAsia" w:ascii="宋体" w:hAnsi="宋体" w:cs="Times New Roman"/>
          <w:highlight w:val="none"/>
          <w:lang w:val="en-US" w:eastAsia="zh-CN"/>
        </w:rPr>
        <w:t>2</w:t>
      </w:r>
      <w:r>
        <w:rPr>
          <w:rFonts w:ascii="宋体" w:hAnsi="宋体" w:cs="Times New Roman"/>
          <w:highlight w:val="none"/>
        </w:rPr>
        <w:t>分，得</w:t>
      </w:r>
      <w:r>
        <w:rPr>
          <w:rFonts w:hint="eastAsia" w:ascii="宋体" w:hAnsi="宋体" w:cs="Times New Roman"/>
          <w:highlight w:val="none"/>
          <w:lang w:val="en-US" w:eastAsia="zh-CN"/>
        </w:rPr>
        <w:t>2</w:t>
      </w:r>
      <w:r>
        <w:rPr>
          <w:rFonts w:ascii="宋体" w:hAnsi="宋体" w:cs="Times New Roman"/>
          <w:highlight w:val="none"/>
        </w:rPr>
        <w:t>分。</w:t>
      </w:r>
    </w:p>
    <w:p>
      <w:pPr>
        <w:pStyle w:val="20"/>
        <w:bidi w:val="0"/>
        <w:jc w:val="both"/>
        <w:rPr>
          <w:highlight w:val="none"/>
        </w:rPr>
      </w:pPr>
      <w:r>
        <w:rPr>
          <w:rFonts w:hint="eastAsia"/>
          <w:highlight w:val="none"/>
        </w:rPr>
        <w:t>②中国共产党成立100周年活动目标</w:t>
      </w:r>
      <w:r>
        <w:rPr>
          <w:rFonts w:hint="eastAsia"/>
          <w:highlight w:val="none"/>
          <w:lang w:val="en-US" w:eastAsia="zh-CN"/>
        </w:rPr>
        <w:t>计划</w:t>
      </w:r>
      <w:r>
        <w:rPr>
          <w:rFonts w:hint="eastAsia"/>
          <w:highlight w:val="none"/>
        </w:rPr>
        <w:t>实现率</w:t>
      </w:r>
      <w:r>
        <w:rPr>
          <w:rFonts w:hint="eastAsia"/>
          <w:highlight w:val="none"/>
          <w:lang w:val="en-US" w:eastAsia="zh-CN"/>
        </w:rPr>
        <w:t>100%，</w:t>
      </w:r>
      <w:r>
        <w:rPr>
          <w:rFonts w:hint="eastAsia"/>
          <w:highlight w:val="none"/>
        </w:rPr>
        <w:t>中国共产党成立100周年活动目标</w:t>
      </w:r>
      <w:r>
        <w:rPr>
          <w:rFonts w:hint="eastAsia"/>
          <w:highlight w:val="none"/>
          <w:lang w:val="en-US" w:eastAsia="zh-CN"/>
        </w:rPr>
        <w:t>计划</w:t>
      </w:r>
      <w:r>
        <w:rPr>
          <w:rFonts w:hint="eastAsia"/>
          <w:highlight w:val="none"/>
        </w:rPr>
        <w:t>实现率</w:t>
      </w:r>
      <w:r>
        <w:rPr>
          <w:rFonts w:hint="eastAsia"/>
          <w:highlight w:val="none"/>
          <w:lang w:val="en-US" w:eastAsia="zh-CN"/>
        </w:rPr>
        <w:t>100%，圆满完成</w:t>
      </w:r>
      <w:r>
        <w:rPr>
          <w:rFonts w:hint="eastAsia"/>
          <w:highlight w:val="none"/>
        </w:rPr>
        <w:t>中国共产党成立100周年活动</w:t>
      </w:r>
      <w:r>
        <w:rPr>
          <w:rFonts w:hint="eastAsia"/>
          <w:highlight w:val="none"/>
          <w:lang w:eastAsia="zh-CN"/>
        </w:rPr>
        <w:t>，</w:t>
      </w:r>
      <w:r>
        <w:rPr>
          <w:highlight w:val="none"/>
        </w:rPr>
        <w:t>指标</w:t>
      </w:r>
      <w:r>
        <w:rPr>
          <w:rFonts w:hint="eastAsia"/>
          <w:highlight w:val="none"/>
          <w:lang w:val="en-US" w:eastAsia="zh-CN"/>
        </w:rPr>
        <w:t>2</w:t>
      </w:r>
      <w:r>
        <w:rPr>
          <w:highlight w:val="none"/>
        </w:rPr>
        <w:t>分，得</w:t>
      </w:r>
      <w:r>
        <w:rPr>
          <w:rFonts w:hint="eastAsia"/>
          <w:highlight w:val="none"/>
          <w:lang w:val="en-US" w:eastAsia="zh-CN"/>
        </w:rPr>
        <w:t>2</w:t>
      </w:r>
      <w:r>
        <w:rPr>
          <w:highlight w:val="none"/>
        </w:rPr>
        <w:t>分。</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宋体" w:hAnsi="宋体" w:eastAsia="仿宋" w:cs="Times New Roman"/>
          <w:color w:val="auto"/>
          <w:kern w:val="2"/>
          <w:sz w:val="32"/>
          <w:szCs w:val="32"/>
          <w:highlight w:val="none"/>
          <w:lang w:val="en-US" w:eastAsia="zh-CN" w:bidi="ar-SA"/>
        </w:rPr>
      </w:pPr>
      <w:r>
        <w:rPr>
          <w:rFonts w:hint="eastAsia" w:ascii="宋体" w:hAnsi="宋体" w:eastAsia="仿宋" w:cs="Times New Roman"/>
          <w:color w:val="auto"/>
          <w:kern w:val="2"/>
          <w:sz w:val="32"/>
          <w:szCs w:val="32"/>
          <w:highlight w:val="none"/>
          <w:lang w:val="en-US" w:eastAsia="zh-CN" w:bidi="ar-SA"/>
        </w:rPr>
        <w:t>③推动宗教治理由治标向治本深化目标计划实现率100%，推动宗教治理由治标向治本深化目标实际实现率100%，深化宗教工作督查整改，加强源头治理，持续探索宗教中国化途径和方法，夯实宗教工作责任。指标</w:t>
      </w:r>
      <w:r>
        <w:rPr>
          <w:rFonts w:hint="eastAsia" w:ascii="宋体" w:hAnsi="宋体" w:cs="Times New Roman"/>
          <w:color w:val="auto"/>
          <w:kern w:val="2"/>
          <w:sz w:val="32"/>
          <w:szCs w:val="32"/>
          <w:highlight w:val="none"/>
          <w:lang w:val="en-US" w:eastAsia="zh-CN" w:bidi="ar-SA"/>
        </w:rPr>
        <w:t>2</w:t>
      </w:r>
      <w:r>
        <w:rPr>
          <w:rFonts w:hint="eastAsia" w:ascii="宋体" w:hAnsi="宋体" w:eastAsia="仿宋" w:cs="Times New Roman"/>
          <w:color w:val="auto"/>
          <w:kern w:val="2"/>
          <w:sz w:val="32"/>
          <w:szCs w:val="32"/>
          <w:highlight w:val="none"/>
          <w:lang w:val="en-US" w:eastAsia="zh-CN" w:bidi="ar-SA"/>
        </w:rPr>
        <w:t>分，得</w:t>
      </w:r>
      <w:r>
        <w:rPr>
          <w:rFonts w:hint="eastAsia" w:ascii="宋体" w:hAnsi="宋体" w:cs="Times New Roman"/>
          <w:color w:val="auto"/>
          <w:kern w:val="2"/>
          <w:sz w:val="32"/>
          <w:szCs w:val="32"/>
          <w:highlight w:val="none"/>
          <w:lang w:val="en-US" w:eastAsia="zh-CN" w:bidi="ar-SA"/>
        </w:rPr>
        <w:t>2</w:t>
      </w:r>
      <w:r>
        <w:rPr>
          <w:rFonts w:hint="eastAsia" w:ascii="宋体" w:hAnsi="宋体" w:eastAsia="仿宋" w:cs="Times New Roman"/>
          <w:color w:val="auto"/>
          <w:kern w:val="2"/>
          <w:sz w:val="32"/>
          <w:szCs w:val="32"/>
          <w:highlight w:val="none"/>
          <w:lang w:val="en-US" w:eastAsia="zh-CN" w:bidi="ar-SA"/>
        </w:rPr>
        <w:t>分。</w:t>
      </w:r>
    </w:p>
    <w:p>
      <w:pPr>
        <w:keepNext w:val="0"/>
        <w:keepLines w:val="0"/>
        <w:pageBreakBefore w:val="0"/>
        <w:widowControl w:val="0"/>
        <w:kinsoku/>
        <w:wordWrap/>
        <w:overflowPunct/>
        <w:topLinePunct w:val="0"/>
        <w:autoSpaceDE/>
        <w:autoSpaceDN/>
        <w:bidi w:val="0"/>
        <w:adjustRightInd/>
        <w:snapToGrid/>
        <w:spacing w:line="640" w:lineRule="exact"/>
        <w:ind w:firstLine="640"/>
        <w:jc w:val="left"/>
        <w:textAlignment w:val="auto"/>
        <w:rPr>
          <w:highlight w:val="none"/>
        </w:rPr>
      </w:pPr>
      <w:r>
        <w:rPr>
          <w:rFonts w:hint="eastAsia"/>
          <w:highlight w:val="none"/>
        </w:rPr>
        <w:t>④提升多党合作制度</w:t>
      </w:r>
      <w:r>
        <w:rPr>
          <w:rFonts w:hint="eastAsia" w:ascii="宋体" w:hAnsi="宋体" w:eastAsia="仿宋" w:cs="Times New Roman"/>
          <w:color w:val="auto"/>
          <w:kern w:val="2"/>
          <w:sz w:val="32"/>
          <w:szCs w:val="32"/>
          <w:highlight w:val="none"/>
          <w:lang w:val="en-US" w:eastAsia="zh-CN" w:bidi="ar-SA"/>
        </w:rPr>
        <w:t>效能目标实现率100%，提升多党合作制度效能目标实际实现率100%，协助做好民主党派换届工作，支持民主党派更好履行职能</w:t>
      </w:r>
      <w:r>
        <w:rPr>
          <w:rFonts w:hint="eastAsia" w:ascii="宋体" w:hAnsi="宋体" w:cs="Times New Roman"/>
          <w:color w:val="auto"/>
          <w:kern w:val="2"/>
          <w:sz w:val="32"/>
          <w:szCs w:val="32"/>
          <w:highlight w:val="none"/>
          <w:lang w:val="en-US" w:eastAsia="zh-CN" w:bidi="ar-SA"/>
        </w:rPr>
        <w:t>。</w:t>
      </w:r>
      <w:r>
        <w:rPr>
          <w:rFonts w:hint="eastAsia" w:ascii="宋体" w:hAnsi="宋体" w:eastAsia="仿宋" w:cs="Times New Roman"/>
          <w:color w:val="auto"/>
          <w:kern w:val="2"/>
          <w:sz w:val="32"/>
          <w:szCs w:val="32"/>
          <w:highlight w:val="none"/>
          <w:lang w:val="en-US" w:eastAsia="zh-CN" w:bidi="ar-SA"/>
        </w:rPr>
        <w:t>指标1分，得1分。</w:t>
      </w:r>
    </w:p>
    <w:p>
      <w:pPr>
        <w:pStyle w:val="20"/>
        <w:bidi w:val="0"/>
        <w:jc w:val="both"/>
        <w:rPr>
          <w:rFonts w:hint="eastAsia" w:ascii="Times New Roman" w:hAnsi="Times New Roman" w:eastAsia="仿宋" w:cstheme="minorBidi"/>
          <w:color w:val="auto"/>
          <w:kern w:val="2"/>
          <w:sz w:val="32"/>
          <w:szCs w:val="24"/>
          <w:highlight w:val="none"/>
          <w:lang w:val="en-US" w:eastAsia="zh-CN" w:bidi="ar-SA"/>
        </w:rPr>
      </w:pPr>
      <w:r>
        <w:rPr>
          <w:rFonts w:hint="eastAsia"/>
          <w:highlight w:val="none"/>
        </w:rPr>
        <w:t>⑤</w:t>
      </w:r>
      <w:r>
        <w:rPr>
          <w:rFonts w:hint="eastAsia" w:ascii="Times New Roman" w:hAnsi="Times New Roman" w:eastAsia="仿宋" w:cstheme="minorBidi"/>
          <w:color w:val="auto"/>
          <w:kern w:val="2"/>
          <w:sz w:val="32"/>
          <w:szCs w:val="24"/>
          <w:highlight w:val="none"/>
          <w:lang w:val="en-US" w:eastAsia="zh-CN" w:bidi="ar-SA"/>
        </w:rPr>
        <w:t>加强无党派人士、党外知识分子和新的社会阶层人士统战工作目标计划实现率100%，加强无党派人士、党外知识分子和新的社会阶层人士统战工作目标实际实现率100%。做好党外知识分子思想政治工作，加强无党派人士队伍建设，推进新的社会阶层人士统战工作创新发展。指标1分，得1分。</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Times New Roman" w:hAnsi="Times New Roman"/>
          <w:highlight w:val="none"/>
          <w:lang w:val="en-US" w:eastAsia="zh-CN"/>
        </w:rPr>
      </w:pPr>
      <w:r>
        <w:rPr>
          <w:rFonts w:hint="eastAsia"/>
          <w:highlight w:val="none"/>
          <w:lang w:val="en-US" w:eastAsia="zh-CN"/>
        </w:rPr>
        <w:t>⑥</w:t>
      </w:r>
      <w:r>
        <w:rPr>
          <w:rFonts w:hint="eastAsia"/>
          <w:highlight w:val="none"/>
        </w:rPr>
        <w:t>加强港澳台统战工</w:t>
      </w:r>
      <w:r>
        <w:rPr>
          <w:rFonts w:hint="eastAsia" w:ascii="Times New Roman" w:hAnsi="Times New Roman"/>
          <w:highlight w:val="none"/>
          <w:lang w:val="en-US" w:eastAsia="zh-CN"/>
        </w:rPr>
        <w:t>作目标计划实现率100%，加强港澳台统战工作目标实际实现率100%，按要求做好港澳统战工作和对台统战工作。指标1分，得1分。</w:t>
      </w:r>
    </w:p>
    <w:p>
      <w:pPr>
        <w:pStyle w:val="20"/>
        <w:bidi w:val="0"/>
        <w:jc w:val="both"/>
        <w:rPr>
          <w:rFonts w:hint="eastAsia" w:ascii="Times New Roman" w:hAnsi="Times New Roman" w:eastAsia="仿宋" w:cstheme="minorBidi"/>
          <w:color w:val="auto"/>
          <w:kern w:val="2"/>
          <w:sz w:val="32"/>
          <w:szCs w:val="24"/>
          <w:highlight w:val="none"/>
          <w:lang w:val="en-US" w:eastAsia="zh-CN" w:bidi="ar-SA"/>
        </w:rPr>
      </w:pPr>
      <w:r>
        <w:rPr>
          <w:rFonts w:hint="eastAsia" w:ascii="Times New Roman" w:hAnsi="Times New Roman" w:eastAsia="仿宋" w:cstheme="minorBidi"/>
          <w:color w:val="auto"/>
          <w:kern w:val="2"/>
          <w:sz w:val="32"/>
          <w:szCs w:val="24"/>
          <w:highlight w:val="none"/>
          <w:lang w:val="en-US" w:eastAsia="zh-CN" w:bidi="ar-SA"/>
        </w:rPr>
        <w:t>⑦加强海外统战工作和侨务工作目标计划实现率100%，加强海外统战工作和侨务工作目标实际实现率100%，推动海外统战和侨务工作创新发展，积极扩大对外交流。指标1分，得1分。</w:t>
      </w:r>
    </w:p>
    <w:p>
      <w:pPr>
        <w:pStyle w:val="20"/>
        <w:bidi w:val="0"/>
        <w:jc w:val="both"/>
        <w:rPr>
          <w:rFonts w:hint="eastAsia" w:ascii="Times New Roman" w:hAnsi="Times New Roman" w:eastAsia="仿宋" w:cstheme="minorBidi"/>
          <w:color w:val="auto"/>
          <w:kern w:val="2"/>
          <w:sz w:val="32"/>
          <w:szCs w:val="24"/>
          <w:highlight w:val="none"/>
          <w:lang w:val="en-US" w:eastAsia="zh-CN" w:bidi="ar-SA"/>
        </w:rPr>
      </w:pPr>
      <w:r>
        <w:rPr>
          <w:rFonts w:hint="eastAsia" w:ascii="Times New Roman" w:hAnsi="Times New Roman" w:eastAsia="仿宋" w:cstheme="minorBidi"/>
          <w:color w:val="auto"/>
          <w:kern w:val="2"/>
          <w:sz w:val="32"/>
          <w:szCs w:val="24"/>
          <w:highlight w:val="none"/>
          <w:lang w:val="en-US" w:eastAsia="zh-CN" w:bidi="ar-SA"/>
        </w:rPr>
        <w:t>⑧提升党外代表人士队伍建设目标计划实现率100%，提升党外代表人士队伍建设目标实际实现率100%，加强党外代表人士队伍建设，完善统一战线各领域工作基础数据。指标1分，得1分。</w:t>
      </w:r>
    </w:p>
    <w:p>
      <w:pPr>
        <w:pStyle w:val="20"/>
        <w:bidi w:val="0"/>
        <w:jc w:val="both"/>
        <w:rPr>
          <w:rFonts w:hint="eastAsia"/>
          <w:highlight w:val="yellow"/>
          <w:lang w:eastAsia="zh-CN"/>
        </w:rPr>
      </w:pPr>
      <w:r>
        <w:rPr>
          <w:highlight w:val="none"/>
        </w:rPr>
        <w:t>年度工作目标</w:t>
      </w:r>
      <w:r>
        <w:rPr>
          <w:rFonts w:hint="eastAsia"/>
          <w:highlight w:val="none"/>
        </w:rPr>
        <w:t>完成情况见附件1：部门整体支出自评表</w:t>
      </w:r>
      <w:r>
        <w:rPr>
          <w:rFonts w:hint="eastAsia"/>
          <w:highlight w:val="none"/>
          <w:lang w:eastAsia="zh-CN"/>
        </w:rPr>
        <w:t>。</w:t>
      </w:r>
    </w:p>
    <w:p>
      <w:pPr>
        <w:pStyle w:val="20"/>
        <w:bidi w:val="0"/>
        <w:jc w:val="both"/>
      </w:pPr>
      <w:r>
        <w:t>3.效益指标完成情况分析</w:t>
      </w:r>
    </w:p>
    <w:p>
      <w:pPr>
        <w:pStyle w:val="20"/>
        <w:bidi w:val="0"/>
        <w:jc w:val="both"/>
        <w:rPr>
          <w:highlight w:val="none"/>
        </w:rPr>
      </w:pPr>
      <w:r>
        <w:rPr>
          <w:rFonts w:hint="eastAsia"/>
          <w:highlight w:val="none"/>
        </w:rPr>
        <w:t>（1）社会</w:t>
      </w:r>
      <w:r>
        <w:rPr>
          <w:highlight w:val="none"/>
        </w:rPr>
        <w:t>效益</w:t>
      </w:r>
    </w:p>
    <w:p>
      <w:pPr>
        <w:pStyle w:val="20"/>
        <w:bidi w:val="0"/>
        <w:jc w:val="both"/>
        <w:rPr>
          <w:highlight w:val="none"/>
        </w:rPr>
      </w:pPr>
      <w:r>
        <w:rPr>
          <w:rFonts w:hint="eastAsia"/>
          <w:highlight w:val="none"/>
        </w:rPr>
        <w:t>促进两岸关系更好的发展，促进民族宗教领域和谐稳定，加强理论学习，提高新的社会阶层人士思想认识，强化干部政治意识，加强统战干部队伍建设，围绕中心服务大局，凝心聚力，让广大海外侨胞了解祖国的发展成就，提升海外侨胞的爱国意识。</w:t>
      </w:r>
      <w:r>
        <w:rPr>
          <w:rFonts w:hint="eastAsia"/>
          <w:highlight w:val="none"/>
          <w:lang w:val="en-US" w:eastAsia="zh-CN"/>
        </w:rPr>
        <w:t>但是关于</w:t>
      </w:r>
      <w:r>
        <w:rPr>
          <w:rFonts w:hint="eastAsia"/>
          <w:color w:val="auto"/>
          <w:highlight w:val="none"/>
          <w:lang w:val="en-US" w:eastAsia="zh-CN"/>
        </w:rPr>
        <w:t>加强理论学习、强化干部政治意识组织活动较少，</w:t>
      </w:r>
      <w:r>
        <w:rPr>
          <w:highlight w:val="none"/>
        </w:rPr>
        <w:t>指标</w:t>
      </w:r>
      <w:r>
        <w:rPr>
          <w:rFonts w:hint="eastAsia"/>
          <w:highlight w:val="none"/>
          <w:lang w:val="en-US" w:eastAsia="zh-CN"/>
        </w:rPr>
        <w:t>25</w:t>
      </w:r>
      <w:r>
        <w:rPr>
          <w:highlight w:val="none"/>
        </w:rPr>
        <w:t>分，得</w:t>
      </w:r>
      <w:r>
        <w:rPr>
          <w:rFonts w:hint="eastAsia"/>
          <w:highlight w:val="none"/>
          <w:lang w:val="en-US" w:eastAsia="zh-CN"/>
        </w:rPr>
        <w:t>23</w:t>
      </w:r>
      <w:r>
        <w:rPr>
          <w:highlight w:val="none"/>
        </w:rPr>
        <w:t>分。</w:t>
      </w:r>
    </w:p>
    <w:p>
      <w:pPr>
        <w:pStyle w:val="20"/>
        <w:bidi w:val="0"/>
        <w:jc w:val="both"/>
        <w:rPr>
          <w:highlight w:val="none"/>
        </w:rPr>
      </w:pPr>
      <w:r>
        <w:rPr>
          <w:rFonts w:hint="eastAsia"/>
          <w:highlight w:val="none"/>
        </w:rPr>
        <w:t>（</w:t>
      </w:r>
      <w:r>
        <w:rPr>
          <w:rFonts w:hint="eastAsia"/>
          <w:highlight w:val="none"/>
          <w:lang w:val="en-US" w:eastAsia="zh-CN"/>
        </w:rPr>
        <w:t>2</w:t>
      </w:r>
      <w:r>
        <w:rPr>
          <w:rFonts w:hint="eastAsia"/>
          <w:highlight w:val="none"/>
        </w:rPr>
        <w:t>）</w:t>
      </w:r>
      <w:r>
        <w:rPr>
          <w:highlight w:val="none"/>
        </w:rPr>
        <w:t>满意度</w:t>
      </w:r>
    </w:p>
    <w:p>
      <w:pPr>
        <w:pStyle w:val="20"/>
        <w:bidi w:val="0"/>
        <w:jc w:val="both"/>
        <w:rPr>
          <w:highlight w:val="none"/>
        </w:rPr>
      </w:pPr>
      <w:r>
        <w:rPr>
          <w:rFonts w:hint="eastAsia"/>
          <w:highlight w:val="none"/>
          <w:lang w:val="en-US" w:eastAsia="zh-CN"/>
        </w:rPr>
        <w:t>经调查，</w:t>
      </w:r>
      <w:r>
        <w:rPr>
          <w:rFonts w:hint="eastAsia"/>
          <w:highlight w:val="none"/>
        </w:rPr>
        <w:t>群众</w:t>
      </w:r>
      <w:r>
        <w:rPr>
          <w:highlight w:val="none"/>
        </w:rPr>
        <w:t>满意度</w:t>
      </w:r>
      <w:r>
        <w:rPr>
          <w:rFonts w:hint="eastAsia"/>
          <w:highlight w:val="none"/>
          <w:lang w:val="en-US" w:eastAsia="zh-CN"/>
        </w:rPr>
        <w:t>达到90%以上，</w:t>
      </w:r>
      <w:r>
        <w:rPr>
          <w:rFonts w:hint="eastAsia"/>
          <w:highlight w:val="none"/>
        </w:rPr>
        <w:t>根据评分标准，该项指标标准分值</w:t>
      </w:r>
      <w:r>
        <w:rPr>
          <w:rFonts w:hint="eastAsia"/>
          <w:highlight w:val="none"/>
          <w:lang w:val="en-US" w:eastAsia="zh-CN"/>
        </w:rPr>
        <w:t>10</w:t>
      </w:r>
      <w:r>
        <w:rPr>
          <w:rFonts w:hint="eastAsia"/>
          <w:highlight w:val="none"/>
        </w:rPr>
        <w:t>分，得分为</w:t>
      </w:r>
      <w:r>
        <w:rPr>
          <w:rFonts w:hint="eastAsia"/>
          <w:highlight w:val="none"/>
          <w:lang w:val="en-US" w:eastAsia="zh-CN"/>
        </w:rPr>
        <w:t>10</w:t>
      </w:r>
      <w:r>
        <w:rPr>
          <w:rFonts w:hint="eastAsia"/>
          <w:highlight w:val="none"/>
        </w:rPr>
        <w:t>分。</w:t>
      </w:r>
    </w:p>
    <w:p>
      <w:pPr>
        <w:pStyle w:val="2"/>
        <w:bidi w:val="0"/>
        <w:rPr>
          <w:color w:val="auto"/>
        </w:rPr>
      </w:pPr>
      <w:bookmarkStart w:id="23" w:name="_Toc161"/>
      <w:r>
        <w:rPr>
          <w:color w:val="auto"/>
        </w:rPr>
        <w:t>五、发现的主要问题和改进措施</w:t>
      </w:r>
      <w:bookmarkEnd w:id="23"/>
    </w:p>
    <w:p>
      <w:pPr>
        <w:pStyle w:val="20"/>
        <w:bidi w:val="0"/>
      </w:pPr>
      <w:r>
        <w:t>通过本次绩效自评</w:t>
      </w:r>
      <w:r>
        <w:rPr>
          <w:rFonts w:hint="eastAsia"/>
        </w:rPr>
        <w:t>，</w:t>
      </w:r>
      <w:r>
        <w:t>我</w:t>
      </w:r>
      <w:r>
        <w:rPr>
          <w:rFonts w:hint="eastAsia"/>
        </w:rPr>
        <w:t>单位</w:t>
      </w:r>
      <w:r>
        <w:t>在预算支出管理方面还存在以下几方面</w:t>
      </w:r>
      <w:r>
        <w:rPr>
          <w:rFonts w:hint="eastAsia"/>
          <w:lang w:val="en-US" w:eastAsia="zh-CN"/>
        </w:rPr>
        <w:t>的</w:t>
      </w:r>
      <w:r>
        <w:t>问题：</w:t>
      </w:r>
    </w:p>
    <w:p>
      <w:pPr>
        <w:pStyle w:val="3"/>
        <w:bidi w:val="0"/>
      </w:pPr>
      <w:bookmarkStart w:id="24" w:name="_Toc7671"/>
      <w:r>
        <w:rPr>
          <w:rFonts w:hint="eastAsia"/>
        </w:rPr>
        <w:t>（一）</w:t>
      </w:r>
      <w:r>
        <w:t>发现的主要问题</w:t>
      </w:r>
      <w:bookmarkEnd w:id="24"/>
    </w:p>
    <w:p>
      <w:pPr>
        <w:keepNext/>
        <w:keepLines/>
        <w:ind w:firstLine="562"/>
        <w:rPr>
          <w:b/>
          <w:bCs/>
        </w:rPr>
      </w:pPr>
      <w:bookmarkStart w:id="25" w:name="_Toc27065"/>
      <w:r>
        <w:rPr>
          <w:rFonts w:hint="eastAsia"/>
          <w:b/>
          <w:bCs/>
        </w:rPr>
        <w:t>1、前期绩效管理意识薄弱</w:t>
      </w:r>
      <w:bookmarkEnd w:id="25"/>
    </w:p>
    <w:p>
      <w:pPr>
        <w:ind w:firstLine="560"/>
      </w:pPr>
      <w:r>
        <w:rPr>
          <w:rFonts w:hint="eastAsia"/>
        </w:rPr>
        <w:t>我单位在进行绩效自评工作时，发现由于前期绩效管理意识薄弱，未及时对项目全部资料进行梳理备案统一保管，出现资料不全问题，导致项目自评依据不完整，评价结果不够准确。</w:t>
      </w:r>
    </w:p>
    <w:p>
      <w:pPr>
        <w:keepNext/>
        <w:keepLines/>
        <w:ind w:firstLine="562"/>
        <w:rPr>
          <w:rFonts w:hint="default" w:eastAsia="仿宋"/>
          <w:b/>
          <w:bCs/>
          <w:lang w:val="en-US" w:eastAsia="zh-CN"/>
        </w:rPr>
      </w:pPr>
      <w:bookmarkStart w:id="26" w:name="_Toc8584"/>
      <w:r>
        <w:rPr>
          <w:rFonts w:hint="eastAsia"/>
          <w:b/>
          <w:bCs/>
        </w:rPr>
        <w:t>2、</w:t>
      </w:r>
      <w:bookmarkEnd w:id="26"/>
      <w:r>
        <w:rPr>
          <w:rFonts w:hint="eastAsia"/>
          <w:b/>
          <w:bCs/>
          <w:lang w:val="en-US" w:eastAsia="zh-CN"/>
        </w:rPr>
        <w:t>预算编制不够细化</w:t>
      </w:r>
    </w:p>
    <w:p>
      <w:pPr>
        <w:ind w:firstLine="560"/>
        <w:rPr>
          <w:rFonts w:hint="eastAsia"/>
        </w:rPr>
      </w:pPr>
      <w:r>
        <w:rPr>
          <w:rFonts w:hint="eastAsia"/>
        </w:rPr>
        <w:t>我单位在进行绩效自评工作时，发现个别绩效指标设置不够合理，细化量化程度不足，自评结果不够准确。</w:t>
      </w:r>
    </w:p>
    <w:p>
      <w:pPr>
        <w:keepNext/>
        <w:keepLines/>
        <w:ind w:firstLine="562"/>
        <w:rPr>
          <w:rFonts w:hint="eastAsia"/>
          <w:b/>
          <w:bCs/>
          <w:lang w:val="en-US" w:eastAsia="zh-CN"/>
        </w:rPr>
      </w:pPr>
      <w:r>
        <w:rPr>
          <w:rFonts w:hint="eastAsia"/>
          <w:b/>
          <w:bCs/>
          <w:lang w:val="en-US" w:eastAsia="zh-CN"/>
        </w:rPr>
        <w:t>3、工作安排弹性不足</w:t>
      </w:r>
    </w:p>
    <w:p>
      <w:pPr>
        <w:ind w:firstLine="560"/>
        <w:rPr>
          <w:rFonts w:hint="default"/>
          <w:lang w:val="en-US" w:eastAsia="zh-CN"/>
        </w:rPr>
      </w:pPr>
      <w:r>
        <w:rPr>
          <w:rFonts w:hint="eastAsia"/>
          <w:lang w:val="en-US" w:eastAsia="zh-CN"/>
        </w:rPr>
        <w:t>因疫情原因部分工作存在推迟现象，不利于本部门履职目标的实现与工作任务的完成。</w:t>
      </w:r>
    </w:p>
    <w:p>
      <w:pPr>
        <w:pStyle w:val="3"/>
        <w:bidi w:val="0"/>
        <w:rPr>
          <w:lang w:val="zh-CN"/>
        </w:rPr>
      </w:pPr>
      <w:bookmarkStart w:id="27" w:name="_Toc6374"/>
      <w:r>
        <w:rPr>
          <w:rFonts w:hint="eastAsia"/>
        </w:rPr>
        <w:t>（二）</w:t>
      </w:r>
      <w:r>
        <w:rPr>
          <w:lang w:val="zh-CN"/>
        </w:rPr>
        <w:t>下一步改进措施</w:t>
      </w:r>
      <w:bookmarkEnd w:id="27"/>
    </w:p>
    <w:p>
      <w:pPr>
        <w:pStyle w:val="20"/>
        <w:bidi w:val="0"/>
        <w:jc w:val="both"/>
        <w:rPr>
          <w:lang w:val="zh-CN"/>
        </w:rPr>
      </w:pPr>
      <w:r>
        <w:rPr>
          <w:lang w:val="zh-CN"/>
        </w:rPr>
        <w:t>根据今后的工作任务和要求，吸取前年工作的经验，明确努力方向，加强绩效评价在目标上的设定，完善绩效评价内容。</w:t>
      </w:r>
    </w:p>
    <w:p>
      <w:pPr>
        <w:keepNext/>
        <w:keepLines/>
        <w:ind w:firstLine="562"/>
        <w:rPr>
          <w:b/>
          <w:bCs/>
        </w:rPr>
      </w:pPr>
      <w:bookmarkStart w:id="28" w:name="_Toc17933"/>
      <w:bookmarkStart w:id="29" w:name="_Toc4527"/>
      <w:r>
        <w:rPr>
          <w:rFonts w:hint="eastAsia"/>
          <w:b/>
          <w:bCs/>
        </w:rPr>
        <w:t>1、强化预算绩效管理意识，提升项目产出效益</w:t>
      </w:r>
      <w:bookmarkEnd w:id="28"/>
    </w:p>
    <w:p>
      <w:pPr>
        <w:pStyle w:val="7"/>
        <w:ind w:firstLine="560"/>
        <w:jc w:val="both"/>
        <w:rPr>
          <w:rFonts w:ascii="仿宋" w:hAnsi="仿宋"/>
          <w:b/>
        </w:rPr>
      </w:pPr>
      <w:r>
        <w:rPr>
          <w:rFonts w:hint="eastAsia"/>
        </w:rPr>
        <w:t>我单位应按照全面实施预算绩效管理工作要求：牢固树立“花钱必有效，无效必问责”的预算绩效管理理念，加快推进全方位、全过程、全覆盖的预算绩效管理体系建设，积极推进全面实施预算绩效管理工作，提升预算绩效管理水平。为发挥好财政职能作用，必须按照全面深化改革的要求，提高单位绩效管理意识，使财政资金发挥真正的效益。</w:t>
      </w:r>
    </w:p>
    <w:p>
      <w:pPr>
        <w:keepNext/>
        <w:keepLines/>
        <w:ind w:firstLine="562"/>
        <w:rPr>
          <w:b/>
          <w:bCs/>
        </w:rPr>
      </w:pPr>
      <w:bookmarkStart w:id="30" w:name="_Toc32326"/>
      <w:r>
        <w:rPr>
          <w:rFonts w:hint="eastAsia"/>
          <w:b/>
          <w:bCs/>
        </w:rPr>
        <w:t>2、加强学习培训，进一步提高绩效管理水平</w:t>
      </w:r>
      <w:bookmarkEnd w:id="30"/>
    </w:p>
    <w:p>
      <w:pPr>
        <w:pStyle w:val="20"/>
        <w:bidi w:val="0"/>
        <w:jc w:val="both"/>
        <w:rPr>
          <w:rFonts w:hint="eastAsia"/>
        </w:rPr>
      </w:pPr>
      <w:r>
        <w:rPr>
          <w:rFonts w:hint="eastAsia"/>
        </w:rPr>
        <w:t>通过本次自评，发现我单位整体绩效评价专业水平不够，为今后更好的开展绩效评价和项目管理工作，建议财政部门组织绩效管理专题培训会议。</w:t>
      </w:r>
    </w:p>
    <w:p>
      <w:pPr>
        <w:pStyle w:val="20"/>
        <w:keepNext w:val="0"/>
        <w:keepLines w:val="0"/>
        <w:pageBreakBefore w:val="0"/>
        <w:widowControl w:val="0"/>
        <w:numPr>
          <w:ilvl w:val="0"/>
          <w:numId w:val="0"/>
        </w:numPr>
        <w:kinsoku/>
        <w:wordWrap/>
        <w:overflowPunct/>
        <w:topLinePunct w:val="0"/>
        <w:autoSpaceDE/>
        <w:autoSpaceDN/>
        <w:bidi w:val="0"/>
        <w:adjustRightInd w:val="0"/>
        <w:snapToGrid w:val="0"/>
        <w:ind w:firstLine="643" w:firstLineChars="200"/>
        <w:jc w:val="both"/>
        <w:textAlignment w:val="auto"/>
        <w:rPr>
          <w:rFonts w:hint="eastAsia"/>
          <w:lang w:val="en-US" w:eastAsia="zh-CN"/>
        </w:rPr>
      </w:pPr>
      <w:r>
        <w:rPr>
          <w:rFonts w:hint="eastAsia" w:ascii="Times New Roman" w:hAnsi="Times New Roman" w:cstheme="minorBidi"/>
          <w:b/>
          <w:bCs/>
          <w:color w:val="auto"/>
          <w:kern w:val="2"/>
          <w:sz w:val="32"/>
          <w:szCs w:val="24"/>
          <w:lang w:val="en-US" w:eastAsia="zh-CN" w:bidi="ar-SA"/>
        </w:rPr>
        <w:t>3、</w:t>
      </w:r>
      <w:r>
        <w:rPr>
          <w:rFonts w:hint="eastAsia" w:ascii="Times New Roman" w:hAnsi="Times New Roman" w:eastAsia="仿宋" w:cstheme="minorBidi"/>
          <w:b/>
          <w:bCs/>
          <w:color w:val="auto"/>
          <w:kern w:val="2"/>
          <w:sz w:val="32"/>
          <w:szCs w:val="24"/>
          <w:lang w:val="en-US" w:eastAsia="zh-CN" w:bidi="ar-SA"/>
        </w:rPr>
        <w:t>完善工作安排弹性制度</w:t>
      </w:r>
    </w:p>
    <w:p>
      <w:pPr>
        <w:pStyle w:val="20"/>
        <w:bidi w:val="0"/>
        <w:jc w:val="both"/>
        <w:rPr>
          <w:rFonts w:hint="default"/>
          <w:lang w:val="zh-CN" w:eastAsia="zh-CN"/>
        </w:rPr>
      </w:pPr>
      <w:r>
        <w:rPr>
          <w:rFonts w:hint="default"/>
          <w:lang w:val="zh-CN"/>
        </w:rPr>
        <w:t>在日常预算管理过程中，进一步加强预算支出的街接、审核、跟踪及预算执行情况分析</w:t>
      </w:r>
      <w:r>
        <w:rPr>
          <w:rFonts w:hint="eastAsia"/>
          <w:lang w:val="zh-CN"/>
        </w:rPr>
        <w:t>，</w:t>
      </w:r>
      <w:r>
        <w:rPr>
          <w:rFonts w:hint="eastAsia"/>
          <w:lang w:val="en-US" w:eastAsia="zh-CN"/>
        </w:rPr>
        <w:t>及时发现问题解决问题</w:t>
      </w:r>
      <w:r>
        <w:rPr>
          <w:rFonts w:hint="default"/>
          <w:lang w:val="zh-CN"/>
        </w:rPr>
        <w:t>。</w:t>
      </w:r>
    </w:p>
    <w:p>
      <w:pPr>
        <w:pStyle w:val="3"/>
        <w:bidi w:val="0"/>
      </w:pPr>
      <w:bookmarkStart w:id="31" w:name="_Toc3124"/>
      <w:r>
        <w:rPr>
          <w:rFonts w:hint="eastAsia"/>
        </w:rPr>
        <w:t>（三）绩效自评结果应用</w:t>
      </w:r>
      <w:bookmarkEnd w:id="31"/>
    </w:p>
    <w:p>
      <w:pPr>
        <w:pStyle w:val="20"/>
        <w:bidi w:val="0"/>
        <w:rPr>
          <w:b/>
          <w:bCs/>
          <w:highlight w:val="none"/>
        </w:rPr>
      </w:pPr>
      <w:r>
        <w:rPr>
          <w:rFonts w:hint="eastAsia"/>
          <w:b/>
          <w:bCs/>
          <w:highlight w:val="none"/>
        </w:rPr>
        <w:t>1.</w:t>
      </w:r>
      <w:r>
        <w:rPr>
          <w:b/>
          <w:bCs/>
          <w:highlight w:val="none"/>
        </w:rPr>
        <w:t>以绩效评价结果应用为目标，坚持报告与公开相结合</w:t>
      </w:r>
      <w:bookmarkEnd w:id="29"/>
    </w:p>
    <w:p>
      <w:pPr>
        <w:pStyle w:val="20"/>
        <w:bidi w:val="0"/>
        <w:jc w:val="both"/>
        <w:rPr>
          <w:highlight w:val="none"/>
        </w:rPr>
      </w:pPr>
      <w:r>
        <w:rPr>
          <w:highlight w:val="none"/>
        </w:rPr>
        <w:t>为加强绩效评价结果的应用，根据</w:t>
      </w:r>
      <w:r>
        <w:rPr>
          <w:rFonts w:hint="eastAsia"/>
          <w:highlight w:val="none"/>
          <w:lang w:val="en-US" w:eastAsia="zh-CN"/>
        </w:rPr>
        <w:t>《三门峡市财政局关于开展2021年度市级预算绩效自评工作的通知》</w:t>
      </w:r>
      <w:r>
        <w:rPr>
          <w:highlight w:val="none"/>
        </w:rPr>
        <w:t>的要求，</w:t>
      </w:r>
      <w:r>
        <w:rPr>
          <w:rFonts w:hint="eastAsia"/>
          <w:highlight w:val="none"/>
          <w:lang w:eastAsia="zh-CN"/>
        </w:rPr>
        <w:t>2021</w:t>
      </w:r>
      <w:r>
        <w:rPr>
          <w:highlight w:val="none"/>
        </w:rPr>
        <w:t>年度</w:t>
      </w:r>
      <w:r>
        <w:rPr>
          <w:rFonts w:hint="eastAsia"/>
          <w:highlight w:val="none"/>
        </w:rPr>
        <w:t>局部门整体绩效自评报告及自评表按时</w:t>
      </w:r>
      <w:r>
        <w:rPr>
          <w:highlight w:val="none"/>
        </w:rPr>
        <w:t>上报财政</w:t>
      </w:r>
      <w:r>
        <w:rPr>
          <w:rFonts w:hint="eastAsia"/>
          <w:highlight w:val="none"/>
        </w:rPr>
        <w:t>局，将绩效评价结果应用于下一年的预算编制</w:t>
      </w:r>
      <w:r>
        <w:rPr>
          <w:highlight w:val="none"/>
        </w:rPr>
        <w:t>。</w:t>
      </w:r>
    </w:p>
    <w:p>
      <w:pPr>
        <w:pStyle w:val="20"/>
        <w:bidi w:val="0"/>
        <w:rPr>
          <w:b/>
          <w:bCs/>
          <w:highlight w:val="none"/>
        </w:rPr>
      </w:pPr>
      <w:bookmarkStart w:id="32" w:name="_Toc1950"/>
      <w:r>
        <w:rPr>
          <w:rFonts w:hint="eastAsia"/>
          <w:b/>
          <w:bCs/>
          <w:highlight w:val="none"/>
        </w:rPr>
        <w:t>2</w:t>
      </w:r>
      <w:r>
        <w:rPr>
          <w:rFonts w:hint="eastAsia"/>
          <w:b/>
          <w:bCs/>
          <w:highlight w:val="none"/>
          <w:lang w:eastAsia="zh-CN"/>
        </w:rPr>
        <w:t>.</w:t>
      </w:r>
      <w:r>
        <w:rPr>
          <w:b/>
          <w:bCs/>
          <w:highlight w:val="none"/>
        </w:rPr>
        <w:t>以绩效评价反馈问题为导向，提出整改的思路和办法</w:t>
      </w:r>
      <w:bookmarkEnd w:id="32"/>
    </w:p>
    <w:p>
      <w:pPr>
        <w:pStyle w:val="20"/>
        <w:bidi w:val="0"/>
        <w:jc w:val="both"/>
        <w:rPr>
          <w:highlight w:val="yellow"/>
          <w:lang w:val="zh-CN"/>
        </w:rPr>
      </w:pPr>
      <w:r>
        <w:rPr>
          <w:highlight w:val="none"/>
        </w:rPr>
        <w:t>根据绩效</w:t>
      </w:r>
      <w:r>
        <w:rPr>
          <w:rFonts w:hint="eastAsia"/>
          <w:highlight w:val="none"/>
        </w:rPr>
        <w:t>自评</w:t>
      </w:r>
      <w:r>
        <w:rPr>
          <w:highlight w:val="none"/>
        </w:rPr>
        <w:t>结果，发现部门工作存在的问题，提出整改思路和解决办法，</w:t>
      </w:r>
      <w:r>
        <w:rPr>
          <w:rFonts w:hint="eastAsia"/>
          <w:highlight w:val="none"/>
        </w:rPr>
        <w:t>结合社会公众的相关意见和建议，</w:t>
      </w:r>
      <w:r>
        <w:rPr>
          <w:highlight w:val="none"/>
        </w:rPr>
        <w:t>以问题为导向，扎实推进</w:t>
      </w:r>
      <w:r>
        <w:rPr>
          <w:rFonts w:hint="eastAsia"/>
          <w:highlight w:val="none"/>
          <w:lang w:eastAsia="zh-CN"/>
        </w:rPr>
        <w:t>我</w:t>
      </w:r>
      <w:r>
        <w:rPr>
          <w:rFonts w:hint="eastAsia"/>
          <w:highlight w:val="none"/>
          <w:lang w:val="en-US" w:eastAsia="zh-CN"/>
        </w:rPr>
        <w:t>单位</w:t>
      </w:r>
      <w:r>
        <w:rPr>
          <w:rFonts w:hint="eastAsia"/>
          <w:highlight w:val="none"/>
        </w:rPr>
        <w:t>各项工作</w:t>
      </w:r>
      <w:r>
        <w:rPr>
          <w:highlight w:val="none"/>
        </w:rPr>
        <w:t>发展</w:t>
      </w:r>
      <w:r>
        <w:rPr>
          <w:rFonts w:hint="eastAsia"/>
          <w:highlight w:val="none"/>
        </w:rPr>
        <w:t>。</w:t>
      </w:r>
    </w:p>
    <w:p>
      <w:pPr>
        <w:pStyle w:val="2"/>
        <w:bidi w:val="0"/>
        <w:rPr>
          <w:color w:val="auto"/>
        </w:rPr>
      </w:pPr>
      <w:bookmarkStart w:id="33" w:name="_Toc12080"/>
      <w:r>
        <w:rPr>
          <w:rFonts w:hint="eastAsia"/>
          <w:color w:val="auto"/>
        </w:rPr>
        <w:t>六、有关建议</w:t>
      </w:r>
      <w:bookmarkEnd w:id="33"/>
    </w:p>
    <w:p>
      <w:pPr>
        <w:pStyle w:val="20"/>
        <w:bidi w:val="0"/>
        <w:jc w:val="both"/>
      </w:pPr>
      <w:r>
        <w:rPr>
          <w:rFonts w:hint="eastAsia"/>
          <w:highlight w:val="none"/>
        </w:rPr>
        <w:t>通过此次绩效自评工作的开展，</w:t>
      </w:r>
      <w:r>
        <w:rPr>
          <w:rFonts w:hint="eastAsia"/>
          <w:highlight w:val="none"/>
          <w:lang w:eastAsia="zh-CN"/>
        </w:rPr>
        <w:t>我单位</w:t>
      </w:r>
      <w:r>
        <w:rPr>
          <w:rFonts w:hint="eastAsia"/>
          <w:highlight w:val="none"/>
        </w:rPr>
        <w:t>意识到自身需加强绩效管理，培养工作人员的绩效管理意识，增加相关人员绩效管理知识性和系统性的培训，使今后绩效管理的工作能够更好的开展。</w:t>
      </w:r>
    </w:p>
    <w:p>
      <w:pPr>
        <w:pStyle w:val="2"/>
        <w:bidi w:val="0"/>
        <w:rPr>
          <w:color w:val="auto"/>
        </w:rPr>
      </w:pPr>
      <w:bookmarkStart w:id="34" w:name="_Toc5111"/>
      <w:r>
        <w:rPr>
          <w:color w:val="auto"/>
        </w:rPr>
        <w:t>七、</w:t>
      </w:r>
      <w:r>
        <w:rPr>
          <w:rFonts w:hint="eastAsia"/>
          <w:color w:val="auto"/>
        </w:rPr>
        <w:t>其他需要说明的问题</w:t>
      </w:r>
      <w:bookmarkEnd w:id="34"/>
    </w:p>
    <w:p>
      <w:pPr>
        <w:pStyle w:val="3"/>
        <w:bidi w:val="0"/>
      </w:pPr>
      <w:bookmarkStart w:id="35" w:name="_Toc85"/>
      <w:bookmarkStart w:id="36" w:name="_Toc28443"/>
      <w:r>
        <w:rPr>
          <w:rFonts w:hint="eastAsia"/>
        </w:rPr>
        <w:t>（一）绩效自评工作经验</w:t>
      </w:r>
      <w:bookmarkEnd w:id="35"/>
      <w:bookmarkEnd w:id="36"/>
    </w:p>
    <w:p>
      <w:pPr>
        <w:pStyle w:val="20"/>
        <w:bidi w:val="0"/>
        <w:jc w:val="both"/>
        <w:rPr>
          <w:highlight w:val="none"/>
        </w:rPr>
      </w:pPr>
      <w:r>
        <w:rPr>
          <w:rFonts w:hint="eastAsia"/>
          <w:highlight w:val="none"/>
          <w:lang w:val="en-US" w:eastAsia="zh-CN"/>
        </w:rPr>
        <w:t>我</w:t>
      </w:r>
      <w:r>
        <w:rPr>
          <w:rFonts w:hint="eastAsia"/>
          <w:highlight w:val="none"/>
        </w:rPr>
        <w:t>单位通过此次部门整体绩效自评，</w:t>
      </w:r>
      <w:r>
        <w:rPr>
          <w:rFonts w:hint="eastAsia"/>
          <w:highlight w:val="none"/>
          <w:lang w:eastAsia="zh-CN"/>
        </w:rPr>
        <w:t>我单位</w:t>
      </w:r>
      <w:r>
        <w:rPr>
          <w:rFonts w:hint="eastAsia"/>
          <w:highlight w:val="none"/>
        </w:rPr>
        <w:t>充分了解到本级部门的整体运行情况和工作开展进度、成效及不足之处。</w:t>
      </w:r>
    </w:p>
    <w:p>
      <w:pPr>
        <w:pStyle w:val="20"/>
        <w:bidi w:val="0"/>
        <w:jc w:val="both"/>
        <w:rPr>
          <w:highlight w:val="none"/>
        </w:rPr>
      </w:pPr>
      <w:r>
        <w:rPr>
          <w:rFonts w:hint="eastAsia"/>
          <w:highlight w:val="none"/>
        </w:rPr>
        <w:t>此次评价发现的相关问题和经验，为</w:t>
      </w:r>
      <w:r>
        <w:rPr>
          <w:rFonts w:hint="eastAsia"/>
          <w:highlight w:val="none"/>
          <w:lang w:eastAsia="zh-CN"/>
        </w:rPr>
        <w:t>我单位</w:t>
      </w:r>
      <w:r>
        <w:rPr>
          <w:rFonts w:hint="eastAsia"/>
          <w:highlight w:val="none"/>
        </w:rPr>
        <w:t>今后的工作规划提供了借鉴、能够指导今后工作实际开展，促使我单位内部管理的系统化和规范化。</w:t>
      </w:r>
    </w:p>
    <w:p>
      <w:pPr>
        <w:pStyle w:val="3"/>
        <w:bidi w:val="0"/>
        <w:rPr>
          <w:highlight w:val="none"/>
        </w:rPr>
      </w:pPr>
      <w:bookmarkStart w:id="37" w:name="_Toc10548"/>
      <w:bookmarkStart w:id="38" w:name="_Toc5863"/>
      <w:r>
        <w:rPr>
          <w:rFonts w:hint="eastAsia"/>
          <w:highlight w:val="none"/>
        </w:rPr>
        <w:t>（二）绩效自评工作发现的</w:t>
      </w:r>
      <w:r>
        <w:rPr>
          <w:rFonts w:hint="eastAsia"/>
          <w:highlight w:val="none"/>
          <w:lang w:val="en-US" w:eastAsia="zh-CN"/>
        </w:rPr>
        <w:t>其他</w:t>
      </w:r>
      <w:r>
        <w:rPr>
          <w:rFonts w:hint="eastAsia"/>
          <w:highlight w:val="none"/>
        </w:rPr>
        <w:t>问题</w:t>
      </w:r>
      <w:bookmarkEnd w:id="37"/>
      <w:bookmarkEnd w:id="38"/>
    </w:p>
    <w:p>
      <w:pPr>
        <w:pStyle w:val="20"/>
        <w:bidi w:val="0"/>
        <w:rPr>
          <w:rFonts w:hint="default" w:eastAsia="仿宋"/>
          <w:highlight w:val="none"/>
          <w:lang w:val="en-US" w:eastAsia="zh-CN"/>
        </w:rPr>
      </w:pPr>
      <w:bookmarkStart w:id="39" w:name="_Toc32143"/>
      <w:bookmarkStart w:id="40" w:name="_Toc20640"/>
      <w:bookmarkStart w:id="41" w:name="_Toc24424"/>
      <w:r>
        <w:rPr>
          <w:rFonts w:hint="eastAsia"/>
          <w:highlight w:val="none"/>
          <w:lang w:val="en-US" w:eastAsia="zh-CN"/>
        </w:rPr>
        <w:t>无。</w:t>
      </w:r>
    </w:p>
    <w:p>
      <w:pPr>
        <w:rPr>
          <w:rFonts w:hint="eastAsia"/>
        </w:rPr>
      </w:pPr>
    </w:p>
    <w:p>
      <w:pPr>
        <w:pStyle w:val="7"/>
        <w:rPr>
          <w:rFonts w:hint="eastAsia"/>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2"/>
        <w:bidi w:val="0"/>
        <w:rPr>
          <w:rFonts w:hint="eastAsia"/>
        </w:rPr>
      </w:pPr>
      <w:bookmarkStart w:id="42" w:name="_Toc8331"/>
      <w:r>
        <w:rPr>
          <w:rFonts w:hint="eastAsia"/>
          <w:color w:val="auto"/>
        </w:rPr>
        <w:t>附件1：</w:t>
      </w:r>
      <w:bookmarkEnd w:id="39"/>
      <w:bookmarkStart w:id="43" w:name="_Toc9225"/>
      <w:r>
        <w:rPr>
          <w:rFonts w:hint="eastAsia"/>
          <w:color w:val="auto"/>
          <w:lang w:eastAsia="zh-CN"/>
        </w:rPr>
        <w:t>2021</w:t>
      </w:r>
      <w:r>
        <w:rPr>
          <w:rFonts w:hint="eastAsia"/>
          <w:color w:val="auto"/>
        </w:rPr>
        <w:t>年度部门整体绩效自评表</w:t>
      </w:r>
      <w:bookmarkEnd w:id="40"/>
      <w:bookmarkEnd w:id="41"/>
      <w:bookmarkEnd w:id="42"/>
      <w:bookmarkEnd w:id="43"/>
    </w:p>
    <w:tbl>
      <w:tblPr>
        <w:tblStyle w:val="13"/>
        <w:tblW w:w="14100" w:type="dxa"/>
        <w:jc w:val="center"/>
        <w:tblLayout w:type="autofit"/>
        <w:tblCellMar>
          <w:top w:w="0" w:type="dxa"/>
          <w:left w:w="108" w:type="dxa"/>
          <w:bottom w:w="0" w:type="dxa"/>
          <w:right w:w="108" w:type="dxa"/>
        </w:tblCellMar>
      </w:tblPr>
      <w:tblGrid>
        <w:gridCol w:w="810"/>
        <w:gridCol w:w="1080"/>
        <w:gridCol w:w="1275"/>
        <w:gridCol w:w="1920"/>
        <w:gridCol w:w="1395"/>
        <w:gridCol w:w="2805"/>
        <w:gridCol w:w="1395"/>
        <w:gridCol w:w="1080"/>
        <w:gridCol w:w="1275"/>
        <w:gridCol w:w="1065"/>
      </w:tblGrid>
      <w:tr>
        <w:tblPrEx>
          <w:tblCellMar>
            <w:top w:w="0" w:type="dxa"/>
            <w:left w:w="108" w:type="dxa"/>
            <w:bottom w:w="0" w:type="dxa"/>
            <w:right w:w="108" w:type="dxa"/>
          </w:tblCellMar>
        </w:tblPrEx>
        <w:trPr>
          <w:trHeight w:val="567" w:hRule="atLeast"/>
          <w:jc w:val="center"/>
        </w:trPr>
        <w:tc>
          <w:tcPr>
            <w:tcW w:w="316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部门（单位）名称</w:t>
            </w:r>
          </w:p>
        </w:tc>
        <w:tc>
          <w:tcPr>
            <w:tcW w:w="10935"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lang w:eastAsia="zh-CN"/>
              </w:rPr>
              <w:t>中共三门峡市委统一战线工作部</w:t>
            </w:r>
          </w:p>
        </w:tc>
      </w:tr>
      <w:tr>
        <w:tblPrEx>
          <w:tblCellMar>
            <w:top w:w="0" w:type="dxa"/>
            <w:left w:w="108" w:type="dxa"/>
            <w:bottom w:w="0" w:type="dxa"/>
            <w:right w:w="108" w:type="dxa"/>
          </w:tblCellMar>
        </w:tblPrEx>
        <w:trPr>
          <w:trHeight w:val="567" w:hRule="atLeast"/>
          <w:jc w:val="center"/>
        </w:trPr>
        <w:tc>
          <w:tcPr>
            <w:tcW w:w="1890"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预算执行情况</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年初数</w:t>
            </w:r>
          </w:p>
        </w:tc>
        <w:tc>
          <w:tcPr>
            <w:tcW w:w="2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全年数</w:t>
            </w:r>
          </w:p>
        </w:tc>
        <w:tc>
          <w:tcPr>
            <w:tcW w:w="13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全年执行数</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分值</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预算执行率</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得分</w:t>
            </w:r>
          </w:p>
        </w:tc>
      </w:tr>
      <w:tr>
        <w:tblPrEx>
          <w:tblCellMar>
            <w:top w:w="0" w:type="dxa"/>
            <w:left w:w="108" w:type="dxa"/>
            <w:bottom w:w="0" w:type="dxa"/>
            <w:right w:w="108" w:type="dxa"/>
          </w:tblCellMar>
        </w:tblPrEx>
        <w:trPr>
          <w:trHeight w:val="567" w:hRule="atLeast"/>
          <w:jc w:val="center"/>
        </w:trPr>
        <w:tc>
          <w:tcPr>
            <w:tcW w:w="189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319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部门预算总额（万元）</w:t>
            </w:r>
          </w:p>
        </w:tc>
        <w:tc>
          <w:tcPr>
            <w:tcW w:w="13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highlight w:val="none"/>
                <w:lang w:eastAsia="zh-CN"/>
              </w:rPr>
            </w:pPr>
            <w:r>
              <w:rPr>
                <w:rFonts w:hint="eastAsia"/>
                <w:highlight w:val="none"/>
                <w:lang w:val="en-US" w:eastAsia="zh-CN"/>
              </w:rPr>
              <w:t>929.45</w:t>
            </w:r>
          </w:p>
        </w:tc>
        <w:tc>
          <w:tcPr>
            <w:tcW w:w="2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highlight w:val="none"/>
                <w:lang w:eastAsia="zh-CN"/>
              </w:rPr>
            </w:pPr>
            <w:r>
              <w:rPr>
                <w:rFonts w:hint="eastAsia"/>
                <w:highlight w:val="none"/>
                <w:lang w:val="en-US" w:eastAsia="zh-CN"/>
              </w:rPr>
              <w:t>1035.36</w:t>
            </w:r>
          </w:p>
        </w:tc>
        <w:tc>
          <w:tcPr>
            <w:tcW w:w="13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highlight w:val="none"/>
                <w:lang w:eastAsia="zh-CN"/>
              </w:rPr>
            </w:pPr>
            <w:r>
              <w:rPr>
                <w:rFonts w:hint="eastAsia"/>
                <w:highlight w:val="none"/>
                <w:lang w:val="en-US" w:eastAsia="zh-CN"/>
              </w:rPr>
              <w:t>1035.36</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highlight w:val="none"/>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default"/>
                <w:highlight w:val="none"/>
                <w:lang w:val="en-US" w:eastAsia="zh-CN"/>
              </w:rPr>
            </w:pPr>
            <w:r>
              <w:rPr>
                <w:rFonts w:hint="eastAsia"/>
                <w:highlight w:val="none"/>
                <w:lang w:val="en-US" w:eastAsia="zh-CN"/>
              </w:rPr>
              <w:t>100%</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default" w:eastAsia="仿宋"/>
                <w:highlight w:val="none"/>
                <w:lang w:val="en-US" w:eastAsia="zh-CN"/>
              </w:rPr>
            </w:pPr>
            <w:r>
              <w:rPr>
                <w:rFonts w:hint="eastAsia"/>
                <w:highlight w:val="none"/>
                <w:lang w:val="en-US" w:eastAsia="zh-CN"/>
              </w:rPr>
              <w:t>10</w:t>
            </w:r>
          </w:p>
        </w:tc>
      </w:tr>
      <w:tr>
        <w:tblPrEx>
          <w:tblCellMar>
            <w:top w:w="0" w:type="dxa"/>
            <w:left w:w="108" w:type="dxa"/>
            <w:bottom w:w="0" w:type="dxa"/>
            <w:right w:w="108" w:type="dxa"/>
          </w:tblCellMar>
        </w:tblPrEx>
        <w:trPr>
          <w:trHeight w:val="567" w:hRule="atLeast"/>
          <w:jc w:val="center"/>
        </w:trPr>
        <w:tc>
          <w:tcPr>
            <w:tcW w:w="189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资金来源</w:t>
            </w: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财政性资金</w:t>
            </w:r>
          </w:p>
        </w:tc>
        <w:tc>
          <w:tcPr>
            <w:tcW w:w="13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lang w:val="en-US" w:eastAsia="zh-CN"/>
              </w:rPr>
              <w:t>929.45</w:t>
            </w:r>
          </w:p>
        </w:tc>
        <w:tc>
          <w:tcPr>
            <w:tcW w:w="2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lang w:val="en-US" w:eastAsia="zh-CN"/>
              </w:rPr>
              <w:t>1035.36</w:t>
            </w:r>
          </w:p>
        </w:tc>
        <w:tc>
          <w:tcPr>
            <w:tcW w:w="13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lang w:val="en-US" w:eastAsia="zh-CN"/>
              </w:rPr>
              <w:t>1035.36</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default" w:eastAsia="仿宋"/>
                <w:highlight w:val="none"/>
                <w:lang w:val="en-US" w:eastAsia="zh-CN"/>
              </w:rPr>
            </w:pPr>
            <w:r>
              <w:rPr>
                <w:rFonts w:hint="eastAsia"/>
                <w:highlight w:val="none"/>
                <w:lang w:val="en-US" w:eastAsia="zh-CN"/>
              </w:rPr>
              <w:t>100%</w:t>
            </w: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189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其他资金</w:t>
            </w:r>
          </w:p>
        </w:tc>
        <w:tc>
          <w:tcPr>
            <w:tcW w:w="13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default" w:eastAsia="仿宋"/>
                <w:highlight w:val="none"/>
                <w:lang w:val="en-US" w:eastAsia="zh-CN"/>
              </w:rPr>
            </w:pPr>
            <w:r>
              <w:rPr>
                <w:rFonts w:hint="eastAsia"/>
                <w:highlight w:val="none"/>
                <w:lang w:val="en-US" w:eastAsia="zh-CN"/>
              </w:rPr>
              <w:t>0.00</w:t>
            </w:r>
          </w:p>
        </w:tc>
        <w:tc>
          <w:tcPr>
            <w:tcW w:w="2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default" w:eastAsia="仿宋"/>
                <w:highlight w:val="none"/>
                <w:lang w:val="en-US" w:eastAsia="zh-CN"/>
              </w:rPr>
            </w:pPr>
            <w:r>
              <w:rPr>
                <w:rFonts w:hint="eastAsia"/>
                <w:highlight w:val="none"/>
                <w:lang w:val="en-US" w:eastAsia="zh-CN"/>
              </w:rPr>
              <w:t>0.00</w:t>
            </w:r>
          </w:p>
        </w:tc>
        <w:tc>
          <w:tcPr>
            <w:tcW w:w="13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1890"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年度履职目标</w:t>
            </w:r>
          </w:p>
        </w:tc>
        <w:tc>
          <w:tcPr>
            <w:tcW w:w="739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预期目标</w:t>
            </w:r>
          </w:p>
        </w:tc>
        <w:tc>
          <w:tcPr>
            <w:tcW w:w="481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highlight w:val="none"/>
                <w:lang w:val="en-US" w:eastAsia="zh-CN"/>
              </w:rPr>
            </w:pPr>
            <w:r>
              <w:rPr>
                <w:rFonts w:hint="eastAsia"/>
                <w:highlight w:val="none"/>
              </w:rPr>
              <w:t>实际完成</w:t>
            </w:r>
            <w:r>
              <w:rPr>
                <w:rFonts w:hint="eastAsia"/>
                <w:highlight w:val="none"/>
                <w:lang w:eastAsia="zh-CN"/>
              </w:rPr>
              <w:t>情况</w:t>
            </w:r>
          </w:p>
        </w:tc>
      </w:tr>
      <w:tr>
        <w:tblPrEx>
          <w:tblCellMar>
            <w:top w:w="0" w:type="dxa"/>
            <w:left w:w="108" w:type="dxa"/>
            <w:bottom w:w="0" w:type="dxa"/>
            <w:right w:w="108" w:type="dxa"/>
          </w:tblCellMar>
        </w:tblPrEx>
        <w:trPr>
          <w:trHeight w:val="567" w:hRule="atLeast"/>
          <w:jc w:val="center"/>
        </w:trPr>
        <w:tc>
          <w:tcPr>
            <w:tcW w:w="189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目标名称</w:t>
            </w:r>
          </w:p>
        </w:tc>
        <w:tc>
          <w:tcPr>
            <w:tcW w:w="612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主要内容</w:t>
            </w:r>
          </w:p>
        </w:tc>
        <w:tc>
          <w:tcPr>
            <w:tcW w:w="481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目标完成情况</w:t>
            </w:r>
          </w:p>
        </w:tc>
      </w:tr>
      <w:tr>
        <w:tblPrEx>
          <w:tblCellMar>
            <w:top w:w="0" w:type="dxa"/>
            <w:left w:w="108" w:type="dxa"/>
            <w:bottom w:w="0" w:type="dxa"/>
            <w:right w:w="108" w:type="dxa"/>
          </w:tblCellMar>
        </w:tblPrEx>
        <w:trPr>
          <w:trHeight w:val="567" w:hRule="atLeast"/>
          <w:jc w:val="center"/>
        </w:trPr>
        <w:tc>
          <w:tcPr>
            <w:tcW w:w="189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目标</w:t>
            </w:r>
            <w:r>
              <w:rPr>
                <w:highlight w:val="none"/>
              </w:rPr>
              <w:t>1:</w:t>
            </w:r>
          </w:p>
        </w:tc>
        <w:tc>
          <w:tcPr>
            <w:tcW w:w="612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lang w:val="en-US" w:eastAsia="zh-CN"/>
              </w:rPr>
              <w:t>推动民营经济，引导民营营企业家积极参与乡村振兴，推动巩固脱贫攻坚成果和乡村振兴有机衔接。引导支持党外人士积极参与建强省际区域中心城市和社会主义现代化三门峡建设。</w:t>
            </w:r>
          </w:p>
        </w:tc>
        <w:tc>
          <w:tcPr>
            <w:tcW w:w="481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default" w:eastAsia="仿宋"/>
                <w:highlight w:val="none"/>
                <w:lang w:val="en-US" w:eastAsia="zh-CN"/>
              </w:rPr>
            </w:pPr>
            <w:r>
              <w:rPr>
                <w:rFonts w:hint="eastAsia"/>
                <w:highlight w:val="none"/>
                <w:lang w:val="en-US" w:eastAsia="zh-CN"/>
              </w:rPr>
              <w:t>100%</w:t>
            </w:r>
          </w:p>
        </w:tc>
      </w:tr>
      <w:tr>
        <w:tblPrEx>
          <w:tblCellMar>
            <w:top w:w="0" w:type="dxa"/>
            <w:left w:w="108" w:type="dxa"/>
            <w:bottom w:w="0" w:type="dxa"/>
            <w:right w:w="108" w:type="dxa"/>
          </w:tblCellMar>
        </w:tblPrEx>
        <w:trPr>
          <w:trHeight w:val="567" w:hRule="atLeast"/>
          <w:jc w:val="center"/>
        </w:trPr>
        <w:tc>
          <w:tcPr>
            <w:tcW w:w="189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highlight w:val="none"/>
              </w:rPr>
            </w:pPr>
            <w:r>
              <w:rPr>
                <w:rFonts w:hint="eastAsia"/>
                <w:highlight w:val="none"/>
              </w:rPr>
              <w:t>目标2:</w:t>
            </w:r>
          </w:p>
        </w:tc>
        <w:tc>
          <w:tcPr>
            <w:tcW w:w="612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eastAsia="仿宋" w:cstheme="minorBidi"/>
                <w:color w:val="auto"/>
                <w:kern w:val="2"/>
                <w:sz w:val="24"/>
                <w:szCs w:val="24"/>
                <w:highlight w:val="none"/>
                <w:lang w:val="en-US" w:eastAsia="zh-CN" w:bidi="ar-SA"/>
              </w:rPr>
            </w:pPr>
            <w:r>
              <w:rPr>
                <w:rFonts w:hint="eastAsia"/>
                <w:highlight w:val="none"/>
                <w:lang w:val="en-US" w:eastAsia="zh-CN"/>
              </w:rPr>
              <w:t>召开党外人士庆祝中国共产党成立100周年活动，开展全市统一战线庆祝中国共产党成立100周年活动，充分展示统一战线在党的领导下创新发展的光辉历程，组织广大统战干部开展党史学习教育，支持各领域开展“学五史、守初心、迎百年”等各具特色主题教育，不断巩固共同思想政治基础。</w:t>
            </w:r>
          </w:p>
        </w:tc>
        <w:tc>
          <w:tcPr>
            <w:tcW w:w="481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ind w:left="0" w:leftChars="0" w:firstLine="0" w:firstLineChars="0"/>
              <w:jc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100%</w:t>
            </w:r>
          </w:p>
        </w:tc>
      </w:tr>
      <w:tr>
        <w:tblPrEx>
          <w:tblCellMar>
            <w:top w:w="0" w:type="dxa"/>
            <w:left w:w="108" w:type="dxa"/>
            <w:bottom w:w="0" w:type="dxa"/>
            <w:right w:w="108" w:type="dxa"/>
          </w:tblCellMar>
        </w:tblPrEx>
        <w:trPr>
          <w:trHeight w:val="567" w:hRule="atLeast"/>
          <w:jc w:val="center"/>
        </w:trPr>
        <w:tc>
          <w:tcPr>
            <w:tcW w:w="189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highlight w:val="none"/>
              </w:rPr>
            </w:pPr>
            <w:r>
              <w:rPr>
                <w:rFonts w:hint="eastAsia"/>
                <w:highlight w:val="none"/>
              </w:rPr>
              <w:t>目标3:</w:t>
            </w:r>
          </w:p>
        </w:tc>
        <w:tc>
          <w:tcPr>
            <w:tcW w:w="612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eastAsia="仿宋" w:cstheme="minorBidi"/>
                <w:color w:val="auto"/>
                <w:kern w:val="2"/>
                <w:sz w:val="24"/>
                <w:szCs w:val="24"/>
                <w:highlight w:val="none"/>
                <w:lang w:val="en-US" w:eastAsia="zh-CN" w:bidi="ar-SA"/>
              </w:rPr>
            </w:pPr>
            <w:r>
              <w:rPr>
                <w:rFonts w:hint="eastAsia" w:ascii="Times New Roman" w:hAnsi="Times New Roman" w:eastAsia="仿宋" w:cstheme="minorBidi"/>
                <w:color w:val="auto"/>
                <w:kern w:val="2"/>
                <w:sz w:val="24"/>
                <w:szCs w:val="24"/>
                <w:highlight w:val="none"/>
                <w:lang w:val="en-US" w:eastAsia="zh-CN" w:bidi="ar-SA"/>
              </w:rPr>
              <w:t>深化宗教工作督查整改，加强源头治理，持续探索宗教中国化途经和方法，夯实宗教工作责任，推动宗教治理由治标向治本深化。</w:t>
            </w:r>
          </w:p>
        </w:tc>
        <w:tc>
          <w:tcPr>
            <w:tcW w:w="481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ind w:left="0" w:leftChars="0" w:firstLine="0" w:firstLineChars="0"/>
              <w:jc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100%</w:t>
            </w:r>
          </w:p>
        </w:tc>
      </w:tr>
      <w:tr>
        <w:tblPrEx>
          <w:tblCellMar>
            <w:top w:w="0" w:type="dxa"/>
            <w:left w:w="108" w:type="dxa"/>
            <w:bottom w:w="0" w:type="dxa"/>
            <w:right w:w="108" w:type="dxa"/>
          </w:tblCellMar>
        </w:tblPrEx>
        <w:trPr>
          <w:trHeight w:val="567" w:hRule="atLeast"/>
          <w:jc w:val="center"/>
        </w:trPr>
        <w:tc>
          <w:tcPr>
            <w:tcW w:w="189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highlight w:val="none"/>
              </w:rPr>
            </w:pPr>
            <w:r>
              <w:rPr>
                <w:rFonts w:hint="eastAsia"/>
                <w:highlight w:val="none"/>
              </w:rPr>
              <w:t>目标4:</w:t>
            </w:r>
          </w:p>
        </w:tc>
        <w:tc>
          <w:tcPr>
            <w:tcW w:w="612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eastAsia="仿宋" w:cstheme="minorBidi"/>
                <w:color w:val="auto"/>
                <w:kern w:val="2"/>
                <w:sz w:val="24"/>
                <w:szCs w:val="24"/>
                <w:highlight w:val="none"/>
                <w:lang w:val="en-US" w:eastAsia="zh-CN" w:bidi="ar-SA"/>
              </w:rPr>
            </w:pPr>
            <w:r>
              <w:rPr>
                <w:rFonts w:hint="eastAsia" w:ascii="Times New Roman" w:hAnsi="Times New Roman" w:eastAsia="仿宋" w:cstheme="minorBidi"/>
                <w:color w:val="auto"/>
                <w:kern w:val="2"/>
                <w:sz w:val="24"/>
                <w:szCs w:val="24"/>
                <w:highlight w:val="none"/>
                <w:lang w:val="en-US" w:eastAsia="zh-CN" w:bidi="ar-SA"/>
              </w:rPr>
              <w:t>推进筑牢中华民族共同意识宣传教育和政策落实，宣传我市民族团结进步模范典型事迹，唱响民族团结进步主旋律。促进各民族交往交流交融，打造我市少数民族聚居村乡村振兴的特色。</w:t>
            </w:r>
          </w:p>
        </w:tc>
        <w:tc>
          <w:tcPr>
            <w:tcW w:w="481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ind w:left="0" w:leftChars="0" w:firstLine="0" w:firstLineChars="0"/>
              <w:jc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100%</w:t>
            </w:r>
          </w:p>
        </w:tc>
      </w:tr>
      <w:tr>
        <w:tblPrEx>
          <w:tblCellMar>
            <w:top w:w="0" w:type="dxa"/>
            <w:left w:w="108" w:type="dxa"/>
            <w:bottom w:w="0" w:type="dxa"/>
            <w:right w:w="108" w:type="dxa"/>
          </w:tblCellMar>
        </w:tblPrEx>
        <w:trPr>
          <w:trHeight w:val="567" w:hRule="atLeast"/>
          <w:jc w:val="center"/>
        </w:trPr>
        <w:tc>
          <w:tcPr>
            <w:tcW w:w="189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default"/>
                <w:highlight w:val="none"/>
                <w:lang w:val="en-US" w:eastAsia="zh-CN"/>
              </w:rPr>
            </w:pPr>
            <w:r>
              <w:rPr>
                <w:rFonts w:hint="eastAsia"/>
                <w:highlight w:val="none"/>
                <w:lang w:val="en-US" w:eastAsia="zh-CN"/>
              </w:rPr>
              <w:t>目标5：</w:t>
            </w:r>
          </w:p>
        </w:tc>
        <w:tc>
          <w:tcPr>
            <w:tcW w:w="612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eastAsia="仿宋" w:cstheme="minorBidi"/>
                <w:color w:val="auto"/>
                <w:kern w:val="2"/>
                <w:sz w:val="24"/>
                <w:szCs w:val="24"/>
                <w:highlight w:val="none"/>
                <w:lang w:val="en-US" w:eastAsia="zh-CN" w:bidi="ar-SA"/>
              </w:rPr>
            </w:pPr>
            <w:r>
              <w:rPr>
                <w:rFonts w:hint="eastAsia" w:ascii="Times New Roman" w:hAnsi="Times New Roman" w:eastAsia="仿宋" w:cstheme="minorBidi"/>
                <w:color w:val="auto"/>
                <w:kern w:val="2"/>
                <w:sz w:val="24"/>
                <w:szCs w:val="24"/>
                <w:highlight w:val="none"/>
                <w:lang w:val="en-US" w:eastAsia="zh-CN" w:bidi="ar-SA"/>
              </w:rPr>
              <w:t>协助做好民主党派换届工作，支持民主党派更好履行职能，提升多党合作制度效能。</w:t>
            </w:r>
          </w:p>
        </w:tc>
        <w:tc>
          <w:tcPr>
            <w:tcW w:w="481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ind w:left="0" w:leftChars="0" w:firstLine="0" w:firstLineChars="0"/>
              <w:jc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100%</w:t>
            </w:r>
          </w:p>
        </w:tc>
      </w:tr>
      <w:tr>
        <w:tblPrEx>
          <w:tblCellMar>
            <w:top w:w="0" w:type="dxa"/>
            <w:left w:w="108" w:type="dxa"/>
            <w:bottom w:w="0" w:type="dxa"/>
            <w:right w:w="108" w:type="dxa"/>
          </w:tblCellMar>
        </w:tblPrEx>
        <w:trPr>
          <w:trHeight w:val="567" w:hRule="atLeast"/>
          <w:jc w:val="center"/>
        </w:trPr>
        <w:tc>
          <w:tcPr>
            <w:tcW w:w="189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default"/>
                <w:highlight w:val="none"/>
                <w:lang w:val="en-US" w:eastAsia="zh-CN"/>
              </w:rPr>
            </w:pPr>
            <w:r>
              <w:rPr>
                <w:rFonts w:hint="eastAsia"/>
                <w:highlight w:val="none"/>
                <w:lang w:val="en-US" w:eastAsia="zh-CN"/>
              </w:rPr>
              <w:t>目标6：</w:t>
            </w:r>
          </w:p>
        </w:tc>
        <w:tc>
          <w:tcPr>
            <w:tcW w:w="612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eastAsia="仿宋" w:cstheme="minorBidi"/>
                <w:color w:val="auto"/>
                <w:kern w:val="2"/>
                <w:sz w:val="24"/>
                <w:szCs w:val="24"/>
                <w:highlight w:val="none"/>
                <w:lang w:val="en-US" w:eastAsia="zh-CN" w:bidi="ar-SA"/>
              </w:rPr>
            </w:pPr>
            <w:r>
              <w:rPr>
                <w:rFonts w:hint="eastAsia" w:ascii="Times New Roman" w:hAnsi="Times New Roman" w:eastAsia="仿宋" w:cstheme="minorBidi"/>
                <w:color w:val="auto"/>
                <w:kern w:val="2"/>
                <w:sz w:val="24"/>
                <w:szCs w:val="24"/>
                <w:highlight w:val="none"/>
                <w:lang w:val="en-US" w:eastAsia="zh-CN" w:bidi="ar-SA"/>
              </w:rPr>
              <w:t>做好党外知识分子思想政治工作，加强无党派人士队伍建设，推进新的社会阶层人士统战工作创新发展，加强无党派人士、党外知识分子和新的社会阶层人士统战工作。</w:t>
            </w:r>
          </w:p>
        </w:tc>
        <w:tc>
          <w:tcPr>
            <w:tcW w:w="481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ind w:left="0" w:leftChars="0" w:firstLine="0" w:firstLineChars="0"/>
              <w:jc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100%</w:t>
            </w:r>
          </w:p>
        </w:tc>
      </w:tr>
      <w:tr>
        <w:tblPrEx>
          <w:tblCellMar>
            <w:top w:w="0" w:type="dxa"/>
            <w:left w:w="108" w:type="dxa"/>
            <w:bottom w:w="0" w:type="dxa"/>
            <w:right w:w="108" w:type="dxa"/>
          </w:tblCellMar>
        </w:tblPrEx>
        <w:trPr>
          <w:trHeight w:val="567" w:hRule="atLeast"/>
          <w:jc w:val="center"/>
        </w:trPr>
        <w:tc>
          <w:tcPr>
            <w:tcW w:w="189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default"/>
                <w:highlight w:val="none"/>
                <w:lang w:val="en-US" w:eastAsia="zh-CN"/>
              </w:rPr>
            </w:pPr>
            <w:r>
              <w:rPr>
                <w:rFonts w:hint="eastAsia"/>
                <w:highlight w:val="none"/>
                <w:lang w:val="en-US" w:eastAsia="zh-CN"/>
              </w:rPr>
              <w:t>目标7：</w:t>
            </w:r>
          </w:p>
        </w:tc>
        <w:tc>
          <w:tcPr>
            <w:tcW w:w="612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eastAsia="仿宋" w:cstheme="minorBidi"/>
                <w:color w:val="auto"/>
                <w:kern w:val="2"/>
                <w:sz w:val="24"/>
                <w:szCs w:val="24"/>
                <w:highlight w:val="none"/>
                <w:lang w:val="en-US" w:eastAsia="zh-CN" w:bidi="ar-SA"/>
              </w:rPr>
            </w:pPr>
            <w:r>
              <w:rPr>
                <w:rFonts w:hint="eastAsia" w:ascii="Times New Roman" w:hAnsi="Times New Roman" w:eastAsia="仿宋" w:cstheme="minorBidi"/>
                <w:color w:val="auto"/>
                <w:kern w:val="2"/>
                <w:sz w:val="24"/>
                <w:szCs w:val="24"/>
                <w:highlight w:val="none"/>
                <w:lang w:val="en-US" w:eastAsia="zh-CN" w:bidi="ar-SA"/>
              </w:rPr>
              <w:t>做好港澳统战工作，持续完善港澳工作机制、港澳审批程序。做好对台统战工作，积极参与全市招商引资工作，促进更多台资企业落地我市，持续做好台胞渡母亲河、老子诞辰纪念等活动，继续办好台海局势报告会。加强港澳台统战工作。</w:t>
            </w:r>
          </w:p>
        </w:tc>
        <w:tc>
          <w:tcPr>
            <w:tcW w:w="481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ind w:left="0" w:leftChars="0" w:firstLine="0" w:firstLineChars="0"/>
              <w:jc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100%</w:t>
            </w:r>
          </w:p>
        </w:tc>
      </w:tr>
      <w:tr>
        <w:tblPrEx>
          <w:tblCellMar>
            <w:top w:w="0" w:type="dxa"/>
            <w:left w:w="108" w:type="dxa"/>
            <w:bottom w:w="0" w:type="dxa"/>
            <w:right w:w="108" w:type="dxa"/>
          </w:tblCellMar>
        </w:tblPrEx>
        <w:trPr>
          <w:trHeight w:val="567" w:hRule="atLeast"/>
          <w:jc w:val="center"/>
        </w:trPr>
        <w:tc>
          <w:tcPr>
            <w:tcW w:w="189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default"/>
                <w:highlight w:val="none"/>
                <w:lang w:val="en-US" w:eastAsia="zh-CN"/>
              </w:rPr>
            </w:pPr>
            <w:r>
              <w:rPr>
                <w:rFonts w:hint="eastAsia"/>
                <w:highlight w:val="none"/>
                <w:lang w:val="en-US" w:eastAsia="zh-CN"/>
              </w:rPr>
              <w:t>目标8：</w:t>
            </w:r>
          </w:p>
        </w:tc>
        <w:tc>
          <w:tcPr>
            <w:tcW w:w="612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eastAsia="仿宋" w:cstheme="minorBidi"/>
                <w:color w:val="auto"/>
                <w:kern w:val="2"/>
                <w:sz w:val="24"/>
                <w:szCs w:val="24"/>
                <w:highlight w:val="none"/>
                <w:lang w:val="en-US" w:eastAsia="zh-CN" w:bidi="ar-SA"/>
              </w:rPr>
            </w:pPr>
            <w:r>
              <w:rPr>
                <w:rFonts w:hint="eastAsia" w:ascii="Times New Roman" w:hAnsi="Times New Roman" w:eastAsia="仿宋" w:cstheme="minorBidi"/>
                <w:color w:val="auto"/>
                <w:kern w:val="2"/>
                <w:sz w:val="24"/>
                <w:szCs w:val="24"/>
                <w:highlight w:val="none"/>
                <w:lang w:val="en-US" w:eastAsia="zh-CN" w:bidi="ar-SA"/>
              </w:rPr>
              <w:t>推动海外统战河侨务工作创新发展，做好海外侨胞“双稳”工作，实施“暖桥行动”，积极涵养和集聚华侨华人新生代力量。积极夸大对外交流，加强海外统战工作和侨务工作。</w:t>
            </w:r>
          </w:p>
        </w:tc>
        <w:tc>
          <w:tcPr>
            <w:tcW w:w="481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ind w:left="0" w:leftChars="0" w:firstLine="0" w:firstLineChars="0"/>
              <w:jc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100%</w:t>
            </w:r>
          </w:p>
        </w:tc>
      </w:tr>
      <w:tr>
        <w:tblPrEx>
          <w:tblCellMar>
            <w:top w:w="0" w:type="dxa"/>
            <w:left w:w="108" w:type="dxa"/>
            <w:bottom w:w="0" w:type="dxa"/>
            <w:right w:w="108" w:type="dxa"/>
          </w:tblCellMar>
        </w:tblPrEx>
        <w:trPr>
          <w:trHeight w:val="567" w:hRule="atLeast"/>
          <w:jc w:val="center"/>
        </w:trPr>
        <w:tc>
          <w:tcPr>
            <w:tcW w:w="189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default"/>
                <w:highlight w:val="none"/>
                <w:lang w:val="en-US" w:eastAsia="zh-CN"/>
              </w:rPr>
            </w:pPr>
            <w:r>
              <w:rPr>
                <w:rFonts w:hint="eastAsia"/>
                <w:highlight w:val="none"/>
                <w:lang w:val="en-US" w:eastAsia="zh-CN"/>
              </w:rPr>
              <w:t>目标9：</w:t>
            </w:r>
          </w:p>
        </w:tc>
        <w:tc>
          <w:tcPr>
            <w:tcW w:w="612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eastAsia="仿宋" w:cstheme="minorBidi"/>
                <w:color w:val="auto"/>
                <w:kern w:val="2"/>
                <w:sz w:val="24"/>
                <w:szCs w:val="24"/>
                <w:highlight w:val="none"/>
                <w:lang w:val="en-US" w:eastAsia="zh-CN" w:bidi="ar-SA"/>
              </w:rPr>
            </w:pPr>
            <w:r>
              <w:rPr>
                <w:rFonts w:hint="eastAsia" w:ascii="Times New Roman" w:hAnsi="Times New Roman" w:eastAsia="仿宋" w:cstheme="minorBidi"/>
                <w:color w:val="auto"/>
                <w:kern w:val="2"/>
                <w:sz w:val="24"/>
                <w:szCs w:val="24"/>
                <w:highlight w:val="none"/>
                <w:lang w:val="en-US" w:eastAsia="zh-CN" w:bidi="ar-SA"/>
              </w:rPr>
              <w:t>加强党外代表人士队伍建设，完善统一战线各领域工作基础数据，持续提升党外代表人士队伍建设。</w:t>
            </w:r>
          </w:p>
        </w:tc>
        <w:tc>
          <w:tcPr>
            <w:tcW w:w="481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ind w:left="0" w:leftChars="0" w:firstLine="0" w:firstLineChars="0"/>
              <w:jc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100%</w:t>
            </w:r>
          </w:p>
        </w:tc>
      </w:tr>
      <w:tr>
        <w:tblPrEx>
          <w:tblCellMar>
            <w:top w:w="0" w:type="dxa"/>
            <w:left w:w="108" w:type="dxa"/>
            <w:bottom w:w="0" w:type="dxa"/>
            <w:right w:w="108" w:type="dxa"/>
          </w:tblCellMar>
        </w:tblPrEx>
        <w:trPr>
          <w:trHeight w:val="567" w:hRule="atLeast"/>
          <w:jc w:val="center"/>
        </w:trPr>
        <w:tc>
          <w:tcPr>
            <w:tcW w:w="1890" w:type="dxa"/>
            <w:gridSpan w:val="2"/>
            <w:vMerge w:val="restart"/>
            <w:tcBorders>
              <w:top w:val="single" w:color="000000" w:sz="4" w:space="0"/>
              <w:left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年度主要任务</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任务名称</w:t>
            </w:r>
          </w:p>
        </w:tc>
        <w:tc>
          <w:tcPr>
            <w:tcW w:w="612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主要内容</w:t>
            </w:r>
          </w:p>
        </w:tc>
        <w:tc>
          <w:tcPr>
            <w:tcW w:w="481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任务完成情况</w:t>
            </w:r>
          </w:p>
        </w:tc>
      </w:tr>
      <w:tr>
        <w:tblPrEx>
          <w:tblCellMar>
            <w:top w:w="0" w:type="dxa"/>
            <w:left w:w="108" w:type="dxa"/>
            <w:bottom w:w="0" w:type="dxa"/>
            <w:right w:w="108" w:type="dxa"/>
          </w:tblCellMar>
        </w:tblPrEx>
        <w:trPr>
          <w:trHeight w:val="567" w:hRule="atLeast"/>
          <w:jc w:val="center"/>
        </w:trPr>
        <w:tc>
          <w:tcPr>
            <w:tcW w:w="1890" w:type="dxa"/>
            <w:gridSpan w:val="2"/>
            <w:vMerge w:val="continue"/>
            <w:tcBorders>
              <w:left w:val="single" w:color="000000" w:sz="4" w:space="0"/>
              <w:right w:val="single" w:color="000000" w:sz="4" w:space="0"/>
            </w:tcBorders>
            <w:shd w:val="clear" w:color="auto" w:fill="FFFFFF"/>
            <w:vAlign w:val="center"/>
          </w:tcPr>
          <w:p>
            <w:pPr>
              <w:pStyle w:val="16"/>
              <w:bidi w:val="0"/>
              <w:rPr>
                <w:highlight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任务</w:t>
            </w:r>
            <w:r>
              <w:rPr>
                <w:highlight w:val="none"/>
              </w:rPr>
              <w:t>1:</w:t>
            </w:r>
          </w:p>
        </w:tc>
        <w:tc>
          <w:tcPr>
            <w:tcW w:w="612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统战特需活动</w:t>
            </w:r>
            <w:r>
              <w:rPr>
                <w:rFonts w:hint="eastAsia"/>
                <w:highlight w:val="none"/>
                <w:lang w:eastAsia="zh-CN"/>
              </w:rPr>
              <w:t>。</w:t>
            </w:r>
          </w:p>
        </w:tc>
        <w:tc>
          <w:tcPr>
            <w:tcW w:w="481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ind w:left="0" w:leftChars="0" w:firstLine="0" w:firstLineChars="0"/>
              <w:jc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100%</w:t>
            </w:r>
          </w:p>
        </w:tc>
      </w:tr>
      <w:tr>
        <w:tblPrEx>
          <w:tblCellMar>
            <w:top w:w="0" w:type="dxa"/>
            <w:left w:w="108" w:type="dxa"/>
            <w:bottom w:w="0" w:type="dxa"/>
            <w:right w:w="108" w:type="dxa"/>
          </w:tblCellMar>
        </w:tblPrEx>
        <w:trPr>
          <w:trHeight w:val="567" w:hRule="atLeast"/>
          <w:jc w:val="center"/>
        </w:trPr>
        <w:tc>
          <w:tcPr>
            <w:tcW w:w="1890" w:type="dxa"/>
            <w:gridSpan w:val="2"/>
            <w:vMerge w:val="continue"/>
            <w:tcBorders>
              <w:left w:val="single" w:color="000000" w:sz="4" w:space="0"/>
              <w:right w:val="single" w:color="000000" w:sz="4" w:space="0"/>
            </w:tcBorders>
            <w:shd w:val="clear" w:color="auto" w:fill="FFFFFF"/>
            <w:vAlign w:val="center"/>
          </w:tcPr>
          <w:p>
            <w:pPr>
              <w:pStyle w:val="16"/>
              <w:bidi w:val="0"/>
              <w:rPr>
                <w:highlight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任务2:</w:t>
            </w:r>
          </w:p>
        </w:tc>
        <w:tc>
          <w:tcPr>
            <w:tcW w:w="612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推动宗教治理由治标向治本深化</w:t>
            </w:r>
            <w:r>
              <w:rPr>
                <w:rFonts w:hint="eastAsia"/>
                <w:highlight w:val="none"/>
                <w:lang w:eastAsia="zh-CN"/>
              </w:rPr>
              <w:t>。</w:t>
            </w:r>
          </w:p>
        </w:tc>
        <w:tc>
          <w:tcPr>
            <w:tcW w:w="481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ind w:left="0" w:leftChars="0" w:firstLine="0" w:firstLineChars="0"/>
              <w:jc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100%</w:t>
            </w:r>
          </w:p>
        </w:tc>
      </w:tr>
      <w:tr>
        <w:tblPrEx>
          <w:tblCellMar>
            <w:top w:w="0" w:type="dxa"/>
            <w:left w:w="108" w:type="dxa"/>
            <w:bottom w:w="0" w:type="dxa"/>
            <w:right w:w="108" w:type="dxa"/>
          </w:tblCellMar>
        </w:tblPrEx>
        <w:trPr>
          <w:trHeight w:val="567" w:hRule="atLeast"/>
          <w:jc w:val="center"/>
        </w:trPr>
        <w:tc>
          <w:tcPr>
            <w:tcW w:w="1890" w:type="dxa"/>
            <w:gridSpan w:val="2"/>
            <w:vMerge w:val="continue"/>
            <w:tcBorders>
              <w:left w:val="single" w:color="000000" w:sz="4" w:space="0"/>
              <w:right w:val="single" w:color="000000" w:sz="4" w:space="0"/>
            </w:tcBorders>
            <w:shd w:val="clear" w:color="auto" w:fill="FFFFFF"/>
            <w:vAlign w:val="center"/>
          </w:tcPr>
          <w:p>
            <w:pPr>
              <w:pStyle w:val="16"/>
              <w:bidi w:val="0"/>
              <w:rPr>
                <w:highlight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任务3</w:t>
            </w:r>
            <w:r>
              <w:rPr>
                <w:highlight w:val="none"/>
              </w:rPr>
              <w:t>:</w:t>
            </w:r>
          </w:p>
        </w:tc>
        <w:tc>
          <w:tcPr>
            <w:tcW w:w="612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提升多党合作制度效能</w:t>
            </w:r>
            <w:r>
              <w:rPr>
                <w:rFonts w:hint="eastAsia"/>
                <w:highlight w:val="none"/>
                <w:lang w:eastAsia="zh-CN"/>
              </w:rPr>
              <w:t>。</w:t>
            </w:r>
          </w:p>
        </w:tc>
        <w:tc>
          <w:tcPr>
            <w:tcW w:w="481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ind w:left="0" w:leftChars="0" w:firstLine="0" w:firstLineChars="0"/>
              <w:jc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100%</w:t>
            </w:r>
          </w:p>
        </w:tc>
      </w:tr>
      <w:tr>
        <w:tblPrEx>
          <w:tblCellMar>
            <w:top w:w="0" w:type="dxa"/>
            <w:left w:w="108" w:type="dxa"/>
            <w:bottom w:w="0" w:type="dxa"/>
            <w:right w:w="108" w:type="dxa"/>
          </w:tblCellMar>
        </w:tblPrEx>
        <w:trPr>
          <w:trHeight w:val="567" w:hRule="atLeast"/>
          <w:jc w:val="center"/>
        </w:trPr>
        <w:tc>
          <w:tcPr>
            <w:tcW w:w="1890" w:type="dxa"/>
            <w:gridSpan w:val="2"/>
            <w:vMerge w:val="continue"/>
            <w:tcBorders>
              <w:left w:val="single" w:color="000000" w:sz="4" w:space="0"/>
              <w:right w:val="single" w:color="000000" w:sz="4" w:space="0"/>
            </w:tcBorders>
            <w:shd w:val="clear" w:color="auto" w:fill="FFFFFF"/>
            <w:vAlign w:val="center"/>
          </w:tcPr>
          <w:p>
            <w:pPr>
              <w:pStyle w:val="16"/>
              <w:bidi w:val="0"/>
              <w:rPr>
                <w:highlight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highlight w:val="none"/>
              </w:rPr>
            </w:pPr>
            <w:r>
              <w:rPr>
                <w:rFonts w:hint="eastAsia"/>
                <w:highlight w:val="none"/>
              </w:rPr>
              <w:t>任务4:</w:t>
            </w:r>
          </w:p>
        </w:tc>
        <w:tc>
          <w:tcPr>
            <w:tcW w:w="612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加强无党派人士、党外知识分子和新的社会阶层人士统战工作</w:t>
            </w:r>
            <w:r>
              <w:rPr>
                <w:rFonts w:hint="eastAsia"/>
                <w:highlight w:val="none"/>
                <w:lang w:eastAsia="zh-CN"/>
              </w:rPr>
              <w:t>。</w:t>
            </w:r>
          </w:p>
        </w:tc>
        <w:tc>
          <w:tcPr>
            <w:tcW w:w="481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ind w:left="0" w:leftChars="0" w:firstLine="0" w:firstLineChars="0"/>
              <w:jc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100%</w:t>
            </w:r>
          </w:p>
        </w:tc>
      </w:tr>
      <w:tr>
        <w:tblPrEx>
          <w:tblCellMar>
            <w:top w:w="0" w:type="dxa"/>
            <w:left w:w="108" w:type="dxa"/>
            <w:bottom w:w="0" w:type="dxa"/>
            <w:right w:w="108" w:type="dxa"/>
          </w:tblCellMar>
        </w:tblPrEx>
        <w:trPr>
          <w:trHeight w:val="567" w:hRule="atLeast"/>
          <w:jc w:val="center"/>
        </w:trPr>
        <w:tc>
          <w:tcPr>
            <w:tcW w:w="1890" w:type="dxa"/>
            <w:gridSpan w:val="2"/>
            <w:vMerge w:val="continue"/>
            <w:tcBorders>
              <w:left w:val="single" w:color="000000" w:sz="4" w:space="0"/>
              <w:right w:val="single" w:color="000000" w:sz="4" w:space="0"/>
            </w:tcBorders>
            <w:shd w:val="clear" w:color="auto" w:fill="FFFFFF"/>
            <w:vAlign w:val="center"/>
          </w:tcPr>
          <w:p>
            <w:pPr>
              <w:pStyle w:val="16"/>
              <w:bidi w:val="0"/>
              <w:rPr>
                <w:highlight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highlight w:val="none"/>
              </w:rPr>
            </w:pPr>
            <w:r>
              <w:rPr>
                <w:rFonts w:hint="eastAsia"/>
                <w:highlight w:val="none"/>
              </w:rPr>
              <w:t>任务5:</w:t>
            </w:r>
          </w:p>
        </w:tc>
        <w:tc>
          <w:tcPr>
            <w:tcW w:w="612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加强港澳台统战工作</w:t>
            </w:r>
            <w:r>
              <w:rPr>
                <w:rFonts w:hint="eastAsia"/>
                <w:highlight w:val="none"/>
                <w:lang w:eastAsia="zh-CN"/>
              </w:rPr>
              <w:t>。</w:t>
            </w:r>
          </w:p>
        </w:tc>
        <w:tc>
          <w:tcPr>
            <w:tcW w:w="481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ind w:left="0" w:leftChars="0" w:firstLine="0" w:firstLineChars="0"/>
              <w:jc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100%</w:t>
            </w:r>
          </w:p>
        </w:tc>
      </w:tr>
      <w:tr>
        <w:tblPrEx>
          <w:tblCellMar>
            <w:top w:w="0" w:type="dxa"/>
            <w:left w:w="108" w:type="dxa"/>
            <w:bottom w:w="0" w:type="dxa"/>
            <w:right w:w="108" w:type="dxa"/>
          </w:tblCellMar>
        </w:tblPrEx>
        <w:trPr>
          <w:trHeight w:val="567" w:hRule="atLeast"/>
          <w:jc w:val="center"/>
        </w:trPr>
        <w:tc>
          <w:tcPr>
            <w:tcW w:w="1890" w:type="dxa"/>
            <w:gridSpan w:val="2"/>
            <w:vMerge w:val="continue"/>
            <w:tcBorders>
              <w:left w:val="single" w:color="000000" w:sz="4" w:space="0"/>
              <w:right w:val="single" w:color="000000" w:sz="4" w:space="0"/>
            </w:tcBorders>
            <w:shd w:val="clear" w:color="auto" w:fill="FFFFFF"/>
            <w:vAlign w:val="center"/>
          </w:tcPr>
          <w:p>
            <w:pPr>
              <w:pStyle w:val="16"/>
              <w:bidi w:val="0"/>
              <w:rPr>
                <w:highlight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jc w:val="center"/>
              <w:rPr>
                <w:rFonts w:hint="default"/>
                <w:highlight w:val="none"/>
                <w:lang w:val="en-US" w:eastAsia="zh-CN"/>
              </w:rPr>
            </w:pPr>
            <w:r>
              <w:rPr>
                <w:rFonts w:hint="eastAsia"/>
                <w:highlight w:val="none"/>
                <w:lang w:val="en-US" w:eastAsia="zh-CN"/>
              </w:rPr>
              <w:t>任务6：</w:t>
            </w:r>
          </w:p>
        </w:tc>
        <w:tc>
          <w:tcPr>
            <w:tcW w:w="612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lang w:val="en-US" w:eastAsia="zh-CN"/>
              </w:rPr>
              <w:t>加强海外统战工作和侨务工作。</w:t>
            </w:r>
          </w:p>
        </w:tc>
        <w:tc>
          <w:tcPr>
            <w:tcW w:w="481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ind w:left="0" w:leftChars="0" w:firstLine="0" w:firstLineChars="0"/>
              <w:jc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100%</w:t>
            </w:r>
          </w:p>
        </w:tc>
      </w:tr>
      <w:tr>
        <w:tblPrEx>
          <w:tblCellMar>
            <w:top w:w="0" w:type="dxa"/>
            <w:left w:w="108" w:type="dxa"/>
            <w:bottom w:w="0" w:type="dxa"/>
            <w:right w:w="108" w:type="dxa"/>
          </w:tblCellMar>
        </w:tblPrEx>
        <w:trPr>
          <w:trHeight w:val="567" w:hRule="atLeast"/>
          <w:jc w:val="center"/>
        </w:trPr>
        <w:tc>
          <w:tcPr>
            <w:tcW w:w="1890" w:type="dxa"/>
            <w:gridSpan w:val="2"/>
            <w:vMerge w:val="continue"/>
            <w:tcBorders>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jc w:val="center"/>
              <w:rPr>
                <w:rFonts w:hint="default"/>
                <w:highlight w:val="none"/>
                <w:lang w:val="en-US" w:eastAsia="zh-CN"/>
              </w:rPr>
            </w:pPr>
            <w:r>
              <w:rPr>
                <w:rFonts w:hint="eastAsia"/>
                <w:highlight w:val="none"/>
                <w:lang w:val="en-US" w:eastAsia="zh-CN"/>
              </w:rPr>
              <w:t>任务7：</w:t>
            </w:r>
          </w:p>
        </w:tc>
        <w:tc>
          <w:tcPr>
            <w:tcW w:w="612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lang w:val="en-US" w:eastAsia="zh-CN"/>
              </w:rPr>
              <w:t>提升党外代表人士队伍建设。</w:t>
            </w:r>
          </w:p>
        </w:tc>
        <w:tc>
          <w:tcPr>
            <w:tcW w:w="481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ind w:left="0" w:leftChars="0" w:firstLine="0" w:firstLineChars="0"/>
              <w:jc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100%</w:t>
            </w:r>
          </w:p>
        </w:tc>
      </w:tr>
      <w:tr>
        <w:tblPrEx>
          <w:tblCellMar>
            <w:top w:w="0" w:type="dxa"/>
            <w:left w:w="108" w:type="dxa"/>
            <w:bottom w:w="0" w:type="dxa"/>
            <w:right w:w="108" w:type="dxa"/>
          </w:tblCellMar>
        </w:tblPrEx>
        <w:trPr>
          <w:trHeight w:val="567" w:hRule="atLeast"/>
          <w:jc w:val="center"/>
        </w:trPr>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一级指标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分值</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二级指标</w:t>
            </w: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三级指标</w:t>
            </w:r>
          </w:p>
        </w:tc>
        <w:tc>
          <w:tcPr>
            <w:tcW w:w="1395" w:type="dxa"/>
            <w:tcBorders>
              <w:top w:val="single" w:color="000000" w:sz="4" w:space="0"/>
              <w:left w:val="single" w:color="000000" w:sz="4" w:space="0"/>
              <w:bottom w:val="single" w:color="auto" w:sz="4" w:space="0"/>
              <w:right w:val="single" w:color="000000" w:sz="4" w:space="0"/>
            </w:tcBorders>
            <w:shd w:val="clear" w:color="auto" w:fill="FFFFFF"/>
            <w:vAlign w:val="center"/>
          </w:tcPr>
          <w:p>
            <w:pPr>
              <w:pStyle w:val="16"/>
              <w:bidi w:val="0"/>
              <w:rPr>
                <w:highlight w:val="none"/>
              </w:rPr>
            </w:pPr>
            <w:r>
              <w:rPr>
                <w:rFonts w:hint="eastAsia"/>
                <w:highlight w:val="none"/>
              </w:rPr>
              <w:t>指标值</w:t>
            </w:r>
          </w:p>
        </w:tc>
        <w:tc>
          <w:tcPr>
            <w:tcW w:w="2805" w:type="dxa"/>
            <w:tcBorders>
              <w:top w:val="single" w:color="000000" w:sz="4" w:space="0"/>
              <w:left w:val="single" w:color="000000" w:sz="4" w:space="0"/>
              <w:bottom w:val="single" w:color="auto" w:sz="4" w:space="0"/>
              <w:right w:val="single" w:color="000000" w:sz="4" w:space="0"/>
            </w:tcBorders>
            <w:shd w:val="clear" w:color="auto" w:fill="FFFFFF"/>
            <w:vAlign w:val="center"/>
          </w:tcPr>
          <w:p>
            <w:pPr>
              <w:pStyle w:val="16"/>
              <w:bidi w:val="0"/>
              <w:rPr>
                <w:highlight w:val="none"/>
              </w:rPr>
            </w:pPr>
            <w:r>
              <w:rPr>
                <w:rFonts w:hint="eastAsia"/>
                <w:highlight w:val="none"/>
              </w:rPr>
              <w:t>指标说明</w:t>
            </w:r>
          </w:p>
        </w:tc>
        <w:tc>
          <w:tcPr>
            <w:tcW w:w="1395" w:type="dxa"/>
            <w:tcBorders>
              <w:top w:val="single" w:color="000000" w:sz="4" w:space="0"/>
              <w:left w:val="single" w:color="000000" w:sz="4" w:space="0"/>
              <w:bottom w:val="single" w:color="auto" w:sz="4" w:space="0"/>
              <w:right w:val="single" w:color="000000" w:sz="4" w:space="0"/>
            </w:tcBorders>
            <w:shd w:val="clear" w:color="auto" w:fill="FFFFFF"/>
            <w:vAlign w:val="center"/>
          </w:tcPr>
          <w:p>
            <w:pPr>
              <w:pStyle w:val="16"/>
              <w:bidi w:val="0"/>
              <w:rPr>
                <w:highlight w:val="none"/>
              </w:rPr>
            </w:pPr>
            <w:r>
              <w:rPr>
                <w:rFonts w:hint="eastAsia"/>
                <w:highlight w:val="none"/>
              </w:rPr>
              <w:t>实际完成值</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分值</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得分</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eastAsia="仿宋"/>
                <w:highlight w:val="none"/>
                <w:lang w:eastAsia="zh-CN"/>
              </w:rPr>
            </w:pPr>
            <w:r>
              <w:rPr>
                <w:rFonts w:hint="eastAsia"/>
                <w:highlight w:val="none"/>
              </w:rPr>
              <w:t>未完成原因分</w:t>
            </w:r>
          </w:p>
          <w:p>
            <w:pPr>
              <w:pStyle w:val="16"/>
              <w:bidi w:val="0"/>
              <w:rPr>
                <w:highlight w:val="none"/>
              </w:rPr>
            </w:pPr>
            <w:r>
              <w:rPr>
                <w:rFonts w:hint="eastAsia"/>
                <w:highlight w:val="none"/>
              </w:rPr>
              <w:t>析及改进措施</w:t>
            </w:r>
          </w:p>
        </w:tc>
      </w:tr>
      <w:tr>
        <w:tblPrEx>
          <w:tblCellMar>
            <w:top w:w="0" w:type="dxa"/>
            <w:left w:w="108" w:type="dxa"/>
            <w:bottom w:w="0" w:type="dxa"/>
            <w:right w:w="108" w:type="dxa"/>
          </w:tblCellMar>
        </w:tblPrEx>
        <w:trPr>
          <w:trHeight w:val="567" w:hRule="atLeast"/>
          <w:jc w:val="center"/>
        </w:trPr>
        <w:tc>
          <w:tcPr>
            <w:tcW w:w="8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投入管理指标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highlight w:val="none"/>
              </w:rPr>
              <w:t>30</w:t>
            </w: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工作目标管理</w:t>
            </w:r>
          </w:p>
        </w:tc>
        <w:tc>
          <w:tcPr>
            <w:tcW w:w="1920"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16"/>
              <w:bidi w:val="0"/>
              <w:rPr>
                <w:highlight w:val="none"/>
              </w:rPr>
            </w:pPr>
            <w:r>
              <w:rPr>
                <w:rFonts w:hint="eastAsia"/>
                <w:highlight w:val="none"/>
              </w:rPr>
              <w:t>年度履职目标相关性</w:t>
            </w:r>
          </w:p>
        </w:tc>
        <w:tc>
          <w:tcPr>
            <w:tcW w:w="139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16"/>
              <w:bidi w:val="0"/>
              <w:rPr>
                <w:highlight w:val="none"/>
              </w:rPr>
            </w:pPr>
            <w:r>
              <w:rPr>
                <w:rFonts w:hint="eastAsia"/>
                <w:highlight w:val="none"/>
                <w:lang w:val="en-US" w:eastAsia="zh-CN"/>
              </w:rPr>
              <w:t>相关</w:t>
            </w:r>
          </w:p>
        </w:tc>
        <w:tc>
          <w:tcPr>
            <w:tcW w:w="28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反映部门年度履职目标相关性。</w:t>
            </w:r>
          </w:p>
        </w:tc>
        <w:tc>
          <w:tcPr>
            <w:tcW w:w="139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16"/>
              <w:bidi w:val="0"/>
              <w:ind w:firstLine="0" w:firstLineChars="0"/>
              <w:rPr>
                <w:highlight w:val="none"/>
              </w:rPr>
            </w:pPr>
            <w:r>
              <w:rPr>
                <w:rFonts w:hint="eastAsia"/>
                <w:color w:val="auto"/>
                <w:highlight w:val="none"/>
                <w:lang w:val="en-US" w:eastAsia="zh-CN"/>
              </w:rPr>
              <w:t>相关</w:t>
            </w:r>
          </w:p>
        </w:tc>
        <w:tc>
          <w:tcPr>
            <w:tcW w:w="1080" w:type="dxa"/>
            <w:tcBorders>
              <w:top w:val="single" w:color="000000" w:sz="4" w:space="0"/>
              <w:left w:val="single" w:color="auto" w:sz="4" w:space="0"/>
              <w:bottom w:val="single" w:color="000000" w:sz="4" w:space="0"/>
              <w:right w:val="single" w:color="000000" w:sz="4" w:space="0"/>
            </w:tcBorders>
            <w:shd w:val="clear" w:color="auto" w:fill="FFFFFF"/>
            <w:vAlign w:val="center"/>
          </w:tcPr>
          <w:p>
            <w:pPr>
              <w:pStyle w:val="16"/>
              <w:bidi w:val="0"/>
              <w:ind w:firstLine="0" w:firstLineChars="0"/>
              <w:rPr>
                <w:highlight w:val="none"/>
              </w:rPr>
            </w:pPr>
            <w:r>
              <w:rPr>
                <w:rFonts w:hint="default"/>
                <w:color w:val="auto"/>
                <w:highlight w:val="none"/>
                <w:lang w:val="en-US" w:eastAsia="zh-CN"/>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工作任务科学性</w:t>
            </w:r>
          </w:p>
        </w:tc>
        <w:tc>
          <w:tcPr>
            <w:tcW w:w="1395"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科学</w:t>
            </w:r>
          </w:p>
        </w:tc>
        <w:tc>
          <w:tcPr>
            <w:tcW w:w="280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反映部门工作任务科学性。</w:t>
            </w:r>
          </w:p>
        </w:tc>
        <w:tc>
          <w:tcPr>
            <w:tcW w:w="1395"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pStyle w:val="16"/>
              <w:bidi w:val="0"/>
              <w:ind w:firstLine="0" w:firstLineChars="0"/>
              <w:rPr>
                <w:highlight w:val="none"/>
              </w:rPr>
            </w:pPr>
            <w:r>
              <w:rPr>
                <w:rFonts w:hint="eastAsia"/>
                <w:color w:val="auto"/>
                <w:highlight w:val="none"/>
                <w:lang w:val="en-US" w:eastAsia="zh-CN"/>
              </w:rPr>
              <w:t>科学</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none"/>
              </w:rPr>
            </w:pPr>
            <w:r>
              <w:rPr>
                <w:rFonts w:hint="default"/>
                <w:color w:val="auto"/>
                <w:highlight w:val="none"/>
                <w:lang w:val="en-US" w:eastAsia="zh-CN"/>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绩效指标合理性</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合理</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反映绩效指标合理性。</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ind w:firstLine="0" w:firstLineChars="0"/>
              <w:rPr>
                <w:highlight w:val="none"/>
              </w:rPr>
            </w:pPr>
            <w:r>
              <w:rPr>
                <w:rFonts w:hint="eastAsia"/>
                <w:color w:val="auto"/>
                <w:highlight w:val="none"/>
                <w:lang w:val="en-US" w:eastAsia="zh-CN"/>
              </w:rPr>
              <w:t>合理</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none"/>
              </w:rPr>
            </w:pPr>
            <w:r>
              <w:rPr>
                <w:rFonts w:hint="default"/>
                <w:color w:val="auto"/>
                <w:highlight w:val="none"/>
                <w:lang w:val="en-US" w:eastAsia="zh-CN"/>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预算和财务管理</w:t>
            </w: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预算编制完整性</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完整</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反映部门年度预算编制完整性。</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ind w:firstLine="0" w:firstLineChars="0"/>
              <w:rPr>
                <w:highlight w:val="none"/>
              </w:rPr>
            </w:pPr>
            <w:r>
              <w:rPr>
                <w:rFonts w:hint="eastAsia"/>
                <w:color w:val="auto"/>
                <w:highlight w:val="none"/>
                <w:lang w:val="en-US" w:eastAsia="zh-CN"/>
              </w:rPr>
              <w:t>完整</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none"/>
              </w:rPr>
            </w:pPr>
            <w:r>
              <w:rPr>
                <w:rFonts w:hint="default"/>
                <w:color w:val="auto"/>
                <w:highlight w:val="none"/>
                <w:lang w:val="en-US" w:eastAsia="zh-CN"/>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专项资金细化率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＞90%</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反映部门年度预算提前细化情况。</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ind w:firstLine="0" w:firstLineChars="0"/>
              <w:rPr>
                <w:highlight w:val="none"/>
              </w:rPr>
            </w:pPr>
            <w:r>
              <w:rPr>
                <w:rFonts w:hint="eastAsia"/>
                <w:color w:val="auto"/>
                <w:highlight w:val="none"/>
                <w:lang w:val="en-US" w:eastAsia="zh-CN"/>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none"/>
              </w:rPr>
            </w:pPr>
            <w:r>
              <w:rPr>
                <w:rFonts w:hint="default"/>
                <w:color w:val="auto"/>
                <w:highlight w:val="none"/>
                <w:lang w:val="en-US" w:eastAsia="zh-CN"/>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预算执行率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≥90%</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反映预算执行情况</w:t>
            </w:r>
          </w:p>
        </w:tc>
        <w:tc>
          <w:tcPr>
            <w:tcW w:w="1395" w:type="dxa"/>
            <w:tcBorders>
              <w:top w:val="single" w:color="000000" w:sz="4" w:space="0"/>
              <w:left w:val="single" w:color="000000" w:sz="4" w:space="0"/>
              <w:bottom w:val="single" w:color="auto" w:sz="4" w:space="0"/>
              <w:right w:val="single" w:color="000000" w:sz="4" w:space="0"/>
            </w:tcBorders>
            <w:shd w:val="clear" w:color="auto" w:fill="FFFFFF"/>
            <w:vAlign w:val="center"/>
          </w:tcPr>
          <w:p>
            <w:pPr>
              <w:pStyle w:val="16"/>
              <w:bidi w:val="0"/>
              <w:ind w:firstLine="0" w:firstLineChars="0"/>
              <w:rPr>
                <w:highlight w:val="yellow"/>
              </w:rPr>
            </w:pPr>
            <w:r>
              <w:rPr>
                <w:rFonts w:hint="eastAsia"/>
                <w:color w:val="auto"/>
                <w:highlight w:val="none"/>
                <w:lang w:val="en-US" w:eastAsia="zh-CN"/>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yellow"/>
              </w:rPr>
            </w:pPr>
            <w:r>
              <w:rPr>
                <w:rFonts w:hint="default"/>
                <w:color w:val="auto"/>
                <w:highlight w:val="none"/>
                <w:lang w:val="en-US" w:eastAsia="zh-CN"/>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none"/>
              </w:rPr>
            </w:pPr>
            <w:r>
              <w:rPr>
                <w:rFonts w:hint="eastAsia"/>
                <w:color w:val="auto"/>
                <w:highlight w:val="none"/>
                <w:lang w:val="en-US" w:eastAsia="zh-CN"/>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预算调整率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≤20%</w:t>
            </w:r>
          </w:p>
        </w:tc>
        <w:tc>
          <w:tcPr>
            <w:tcW w:w="280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反映预算调整情况</w:t>
            </w:r>
          </w:p>
        </w:tc>
        <w:tc>
          <w:tcPr>
            <w:tcW w:w="139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16"/>
              <w:bidi w:val="0"/>
              <w:ind w:firstLine="0" w:firstLineChars="0"/>
              <w:rPr>
                <w:highlight w:val="yellow"/>
              </w:rPr>
            </w:pPr>
            <w:r>
              <w:rPr>
                <w:rFonts w:hint="eastAsia"/>
                <w:color w:val="auto"/>
                <w:highlight w:val="none"/>
                <w:lang w:val="en-US" w:eastAsia="zh-CN"/>
              </w:rPr>
              <w:t>11.40%</w:t>
            </w:r>
          </w:p>
        </w:tc>
        <w:tc>
          <w:tcPr>
            <w:tcW w:w="1080" w:type="dxa"/>
            <w:tcBorders>
              <w:top w:val="single" w:color="000000" w:sz="4" w:space="0"/>
              <w:left w:val="single" w:color="auto" w:sz="4" w:space="0"/>
              <w:bottom w:val="single" w:color="000000" w:sz="4" w:space="0"/>
              <w:right w:val="single" w:color="000000" w:sz="4" w:space="0"/>
            </w:tcBorders>
            <w:shd w:val="clear" w:color="auto" w:fill="FFFFFF"/>
            <w:vAlign w:val="center"/>
          </w:tcPr>
          <w:p>
            <w:pPr>
              <w:pStyle w:val="16"/>
              <w:bidi w:val="0"/>
              <w:ind w:firstLine="0" w:firstLineChars="0"/>
              <w:rPr>
                <w:highlight w:val="yellow"/>
              </w:rPr>
            </w:pPr>
            <w:r>
              <w:rPr>
                <w:rFonts w:hint="default"/>
                <w:color w:val="auto"/>
                <w:highlight w:val="none"/>
                <w:lang w:val="en-US" w:eastAsia="zh-CN"/>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none"/>
              </w:rPr>
            </w:pPr>
            <w:r>
              <w:rPr>
                <w:rFonts w:hint="eastAsia"/>
                <w:color w:val="auto"/>
                <w:highlight w:val="none"/>
                <w:lang w:val="en-US" w:eastAsia="zh-CN"/>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bidi w:val="0"/>
              <w:rPr>
                <w:highlight w:val="none"/>
              </w:rPr>
            </w:pPr>
            <w:r>
              <w:rPr>
                <w:rFonts w:hint="eastAsia"/>
                <w:highlight w:val="none"/>
              </w:rPr>
              <w:t>结转结余率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≤20%</w:t>
            </w:r>
          </w:p>
        </w:tc>
        <w:tc>
          <w:tcPr>
            <w:tcW w:w="280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反映预算结转结余情况</w:t>
            </w:r>
          </w:p>
        </w:tc>
        <w:tc>
          <w:tcPr>
            <w:tcW w:w="139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16"/>
              <w:bidi w:val="0"/>
              <w:ind w:firstLine="0" w:firstLineChars="0"/>
              <w:rPr>
                <w:highlight w:val="none"/>
              </w:rPr>
            </w:pPr>
            <w:r>
              <w:rPr>
                <w:rFonts w:hint="eastAsia"/>
                <w:color w:val="auto"/>
                <w:highlight w:val="none"/>
                <w:lang w:val="en-US" w:eastAsia="zh-CN"/>
              </w:rPr>
              <w:t>0</w:t>
            </w:r>
          </w:p>
        </w:tc>
        <w:tc>
          <w:tcPr>
            <w:tcW w:w="1080" w:type="dxa"/>
            <w:tcBorders>
              <w:top w:val="single" w:color="000000" w:sz="4" w:space="0"/>
              <w:left w:val="single" w:color="auto" w:sz="4" w:space="0"/>
              <w:bottom w:val="single" w:color="000000" w:sz="4" w:space="0"/>
              <w:right w:val="single" w:color="000000" w:sz="4" w:space="0"/>
            </w:tcBorders>
            <w:shd w:val="clear" w:color="auto" w:fill="auto"/>
            <w:vAlign w:val="center"/>
          </w:tcPr>
          <w:p>
            <w:pPr>
              <w:pStyle w:val="16"/>
              <w:bidi w:val="0"/>
              <w:ind w:firstLine="0" w:firstLineChars="0"/>
              <w:rPr>
                <w:highlight w:val="none"/>
              </w:rPr>
            </w:pPr>
            <w:r>
              <w:rPr>
                <w:rFonts w:hint="default"/>
                <w:color w:val="auto"/>
                <w:highlight w:val="none"/>
                <w:lang w:val="en-US" w:eastAsia="zh-CN"/>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highlight w:val="none"/>
              </w:rPr>
              <w:t>“</w:t>
            </w:r>
            <w:r>
              <w:rPr>
                <w:rFonts w:hint="eastAsia"/>
                <w:highlight w:val="none"/>
              </w:rPr>
              <w:t>三公经费</w:t>
            </w:r>
            <w:r>
              <w:rPr>
                <w:highlight w:val="none"/>
              </w:rPr>
              <w:t>”</w:t>
            </w:r>
            <w:r>
              <w:rPr>
                <w:rFonts w:hint="eastAsia"/>
                <w:highlight w:val="none"/>
              </w:rPr>
              <w:t>控制率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bidi w:val="0"/>
              <w:rPr>
                <w:highlight w:val="none"/>
              </w:rPr>
            </w:pPr>
            <w:r>
              <w:rPr>
                <w:rFonts w:hint="eastAsia"/>
                <w:highlight w:val="none"/>
                <w:lang w:val="en-US" w:eastAsia="zh-CN"/>
              </w:rPr>
              <w:t>≤100%</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反映“三公经费”控制情况</w:t>
            </w:r>
          </w:p>
        </w:tc>
        <w:tc>
          <w:tcPr>
            <w:tcW w:w="1395"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bidi w:val="0"/>
              <w:ind w:firstLine="0" w:firstLineChars="0"/>
              <w:rPr>
                <w:highlight w:val="yellow"/>
              </w:rPr>
            </w:pPr>
            <w:r>
              <w:rPr>
                <w:rFonts w:hint="eastAsia"/>
                <w:color w:val="auto"/>
                <w:highlight w:val="none"/>
                <w:lang w:val="en-US" w:eastAsia="zh-CN"/>
              </w:rPr>
              <w:t>50.31</w:t>
            </w:r>
            <w:r>
              <w:rPr>
                <w:rFonts w:hint="default"/>
                <w:color w:val="auto"/>
                <w:highlight w:val="none"/>
                <w:lang w:val="en-US" w:eastAsia="zh-CN"/>
              </w:rPr>
              <w:t>%</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yellow"/>
              </w:rPr>
            </w:pPr>
            <w:r>
              <w:rPr>
                <w:rFonts w:hint="default"/>
                <w:color w:val="auto"/>
                <w:highlight w:val="none"/>
                <w:lang w:val="en-US" w:eastAsia="zh-CN"/>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政府采购执行率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≥90%</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反映政府釆购执行情况</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ind w:firstLine="0" w:firstLineChars="0"/>
              <w:rPr>
                <w:highlight w:val="none"/>
              </w:rPr>
            </w:pPr>
            <w:r>
              <w:rPr>
                <w:rFonts w:hint="default"/>
                <w:color w:val="auto"/>
                <w:highlight w:val="none"/>
                <w:lang w:val="en-US" w:eastAsia="zh-CN"/>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none"/>
              </w:rPr>
            </w:pPr>
            <w:r>
              <w:rPr>
                <w:rFonts w:hint="default"/>
                <w:color w:val="auto"/>
                <w:highlight w:val="none"/>
                <w:lang w:val="en-US" w:eastAsia="zh-CN"/>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决算真实性</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真实</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反映部门决算情况</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ind w:firstLine="0" w:firstLineChars="0"/>
              <w:rPr>
                <w:highlight w:val="none"/>
              </w:rPr>
            </w:pPr>
            <w:r>
              <w:rPr>
                <w:rFonts w:hint="eastAsia"/>
                <w:color w:val="auto"/>
                <w:highlight w:val="none"/>
                <w:lang w:val="en-US" w:eastAsia="zh-CN"/>
              </w:rPr>
              <w:t>真实</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none"/>
              </w:rPr>
            </w:pPr>
            <w:r>
              <w:rPr>
                <w:rFonts w:hint="default"/>
                <w:color w:val="auto"/>
                <w:highlight w:val="none"/>
                <w:lang w:val="en-US" w:eastAsia="zh-CN"/>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资金使用合规性</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合规</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反映资金使用规范与否</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ind w:firstLine="0" w:firstLineChars="0"/>
              <w:rPr>
                <w:highlight w:val="none"/>
              </w:rPr>
            </w:pPr>
            <w:r>
              <w:rPr>
                <w:rFonts w:hint="eastAsia"/>
                <w:color w:val="auto"/>
                <w:highlight w:val="none"/>
                <w:lang w:val="en-US" w:eastAsia="zh-CN"/>
              </w:rPr>
              <w:t>合规</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none"/>
              </w:rPr>
            </w:pPr>
            <w:r>
              <w:rPr>
                <w:rFonts w:hint="default"/>
                <w:color w:val="auto"/>
                <w:highlight w:val="none"/>
                <w:lang w:val="en-US" w:eastAsia="zh-CN"/>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管理制度健全性</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健全</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反映部门管理制度情况</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ind w:firstLine="0" w:firstLineChars="0"/>
              <w:rPr>
                <w:highlight w:val="none"/>
              </w:rPr>
            </w:pPr>
            <w:r>
              <w:rPr>
                <w:rFonts w:hint="eastAsia"/>
                <w:color w:val="auto"/>
                <w:highlight w:val="none"/>
                <w:lang w:val="en-US" w:eastAsia="zh-CN"/>
              </w:rPr>
              <w:t>健全</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none"/>
              </w:rPr>
            </w:pPr>
            <w:r>
              <w:rPr>
                <w:rFonts w:hint="default"/>
                <w:color w:val="auto"/>
                <w:highlight w:val="none"/>
                <w:lang w:val="en-US" w:eastAsia="zh-CN"/>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预决算信息公幵性</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公开</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反映部门预决算信息公开情况</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ind w:firstLine="0" w:firstLineChars="0"/>
              <w:rPr>
                <w:highlight w:val="none"/>
              </w:rPr>
            </w:pPr>
            <w:r>
              <w:rPr>
                <w:rFonts w:hint="eastAsia"/>
                <w:color w:val="auto"/>
                <w:highlight w:val="none"/>
                <w:lang w:val="en-US" w:eastAsia="zh-CN"/>
              </w:rPr>
              <w:t>公开</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none"/>
              </w:rPr>
            </w:pPr>
            <w:r>
              <w:rPr>
                <w:rFonts w:hint="default"/>
                <w:color w:val="auto"/>
                <w:highlight w:val="none"/>
                <w:lang w:val="en-US" w:eastAsia="zh-CN"/>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资产管理规范性</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规范</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反映部门资产管理情况</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ind w:firstLine="0" w:firstLineChars="0"/>
              <w:rPr>
                <w:highlight w:val="none"/>
              </w:rPr>
            </w:pPr>
            <w:r>
              <w:rPr>
                <w:rFonts w:hint="eastAsia"/>
                <w:color w:val="auto"/>
                <w:highlight w:val="none"/>
                <w:lang w:val="en-US" w:eastAsia="zh-CN"/>
              </w:rPr>
              <w:t>规范</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none"/>
              </w:rPr>
            </w:pPr>
            <w:r>
              <w:rPr>
                <w:rFonts w:hint="default"/>
                <w:color w:val="auto"/>
                <w:highlight w:val="none"/>
                <w:lang w:val="en-US" w:eastAsia="zh-CN"/>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绩效管理</w:t>
            </w: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绩效监控完成率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100%</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反映绩效管理绩效监控情况</w:t>
            </w:r>
          </w:p>
        </w:tc>
        <w:tc>
          <w:tcPr>
            <w:tcW w:w="13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yellow"/>
              </w:rPr>
            </w:pPr>
            <w:r>
              <w:rPr>
                <w:rFonts w:hint="default"/>
                <w:color w:val="auto"/>
                <w:highlight w:val="none"/>
                <w:lang w:val="en-US" w:eastAsia="zh-CN"/>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none"/>
              </w:rPr>
            </w:pPr>
            <w:r>
              <w:rPr>
                <w:rFonts w:hint="default"/>
                <w:color w:val="auto"/>
                <w:highlight w:val="none"/>
                <w:lang w:val="en-US" w:eastAsia="zh-CN"/>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none"/>
              </w:rPr>
            </w:pPr>
            <w:r>
              <w:rPr>
                <w:rFonts w:hint="eastAsia"/>
                <w:color w:val="auto"/>
                <w:highlight w:val="none"/>
                <w:lang w:val="en-US" w:eastAsia="zh-CN"/>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绩效自评完成率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100%</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反映绩效管理绩效自评情况</w:t>
            </w:r>
          </w:p>
        </w:tc>
        <w:tc>
          <w:tcPr>
            <w:tcW w:w="13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yellow"/>
              </w:rPr>
            </w:pPr>
            <w:r>
              <w:rPr>
                <w:rFonts w:hint="default"/>
                <w:color w:val="auto"/>
                <w:highlight w:val="none"/>
                <w:lang w:val="en-US" w:eastAsia="zh-CN"/>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none"/>
              </w:rPr>
            </w:pPr>
            <w:r>
              <w:rPr>
                <w:rFonts w:hint="default"/>
                <w:color w:val="auto"/>
                <w:highlight w:val="none"/>
                <w:lang w:val="en-US" w:eastAsia="zh-CN"/>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none"/>
              </w:rPr>
            </w:pPr>
            <w:r>
              <w:rPr>
                <w:rFonts w:hint="eastAsia"/>
                <w:color w:val="auto"/>
                <w:highlight w:val="none"/>
                <w:lang w:val="en-US" w:eastAsia="zh-CN"/>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部门绩效评价完成率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highlight w:val="none"/>
              </w:rPr>
            </w:pPr>
            <w:r>
              <w:rPr>
                <w:rFonts w:hint="eastAsia"/>
                <w:highlight w:val="none"/>
                <w:lang w:val="en-US" w:eastAsia="zh-CN"/>
              </w:rPr>
              <w:t>100%</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反映绩效部门绩效评价情况</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ind w:firstLine="0" w:firstLineChars="0"/>
              <w:rPr>
                <w:highlight w:val="yellow"/>
              </w:rPr>
            </w:pPr>
            <w:r>
              <w:rPr>
                <w:rFonts w:hint="default"/>
                <w:color w:val="auto"/>
                <w:highlight w:val="none"/>
                <w:lang w:val="en-US" w:eastAsia="zh-CN"/>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none"/>
              </w:rPr>
            </w:pPr>
            <w:r>
              <w:rPr>
                <w:rFonts w:hint="default"/>
                <w:color w:val="auto"/>
                <w:highlight w:val="none"/>
                <w:lang w:val="en-US" w:eastAsia="zh-CN"/>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none"/>
              </w:rPr>
            </w:pPr>
            <w:r>
              <w:rPr>
                <w:rFonts w:hint="eastAsia"/>
                <w:color w:val="auto"/>
                <w:highlight w:val="none"/>
                <w:lang w:val="en-US" w:eastAsia="zh-CN"/>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评价结果应用率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100%</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反映绩效评价结果应用情况</w:t>
            </w:r>
          </w:p>
        </w:tc>
        <w:tc>
          <w:tcPr>
            <w:tcW w:w="13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yellow"/>
              </w:rPr>
            </w:pPr>
            <w:r>
              <w:rPr>
                <w:rFonts w:hint="default"/>
                <w:color w:val="auto"/>
                <w:highlight w:val="none"/>
                <w:lang w:val="en-US" w:eastAsia="zh-CN"/>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none"/>
              </w:rPr>
            </w:pPr>
            <w:r>
              <w:rPr>
                <w:rFonts w:hint="default"/>
                <w:color w:val="auto"/>
                <w:highlight w:val="none"/>
                <w:lang w:val="en-US" w:eastAsia="zh-CN"/>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none"/>
              </w:rPr>
            </w:pPr>
            <w:r>
              <w:rPr>
                <w:rFonts w:hint="eastAsia"/>
                <w:color w:val="auto"/>
                <w:highlight w:val="none"/>
                <w:lang w:val="en-US" w:eastAsia="zh-CN"/>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highlight w:val="none"/>
              </w:rPr>
              <w:t>25</w:t>
            </w: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重点工作任务完成</w:t>
            </w: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统战特需活动完成率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100%</w:t>
            </w:r>
          </w:p>
        </w:tc>
        <w:tc>
          <w:tcPr>
            <w:tcW w:w="2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反应部门统战特需活动完成情况</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ind w:firstLine="0" w:firstLineChars="0"/>
              <w:rPr>
                <w:highlight w:val="none"/>
              </w:rPr>
            </w:pPr>
            <w:r>
              <w:rPr>
                <w:rFonts w:hint="eastAsia"/>
                <w:color w:val="auto"/>
                <w:highlight w:val="none"/>
                <w:lang w:val="en-US" w:eastAsia="zh-CN"/>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推动宗教治理由治标向治本深化完成率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100%</w:t>
            </w:r>
          </w:p>
        </w:tc>
        <w:tc>
          <w:tcPr>
            <w:tcW w:w="2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反应推动宗教治理由治标向治本深化完成情况</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ind w:firstLine="0" w:firstLineChars="0"/>
              <w:rPr>
                <w:highlight w:val="none"/>
              </w:rPr>
            </w:pPr>
            <w:r>
              <w:rPr>
                <w:rFonts w:hint="eastAsia"/>
                <w:color w:val="auto"/>
                <w:highlight w:val="none"/>
                <w:lang w:val="en-US" w:eastAsia="zh-CN"/>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none"/>
              </w:rPr>
            </w:pPr>
            <w:r>
              <w:rPr>
                <w:rFonts w:hint="default"/>
                <w:color w:val="auto"/>
                <w:highlight w:val="none"/>
                <w:lang w:val="en-US" w:eastAsia="zh-CN"/>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提升多党合作制度效能完成率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100%</w:t>
            </w:r>
          </w:p>
        </w:tc>
        <w:tc>
          <w:tcPr>
            <w:tcW w:w="2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反应提升多党合作制度效能完成情况</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ind w:firstLine="0" w:firstLineChars="0"/>
              <w:rPr>
                <w:highlight w:val="none"/>
              </w:rPr>
            </w:pPr>
            <w:r>
              <w:rPr>
                <w:rFonts w:hint="eastAsia"/>
                <w:color w:val="auto"/>
                <w:highlight w:val="none"/>
                <w:lang w:val="en-US" w:eastAsia="zh-CN"/>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加强无党派人士、党外知识分子和新的社会阶层人士统战工作完成率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100%</w:t>
            </w:r>
          </w:p>
        </w:tc>
        <w:tc>
          <w:tcPr>
            <w:tcW w:w="2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反应加强无党派人士、党外知识分子和新的社会阶层人士统战工作完成情况</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ind w:firstLine="0" w:firstLineChars="0"/>
              <w:rPr>
                <w:highlight w:val="none"/>
              </w:rPr>
            </w:pPr>
            <w:r>
              <w:rPr>
                <w:rFonts w:hint="eastAsia"/>
                <w:color w:val="auto"/>
                <w:highlight w:val="none"/>
                <w:lang w:val="en-US" w:eastAsia="zh-CN"/>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none"/>
              </w:rPr>
            </w:pPr>
            <w:r>
              <w:rPr>
                <w:rFonts w:hint="default"/>
                <w:color w:val="auto"/>
                <w:highlight w:val="none"/>
                <w:lang w:val="en-US" w:eastAsia="zh-CN"/>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加强港澳台统战工作完成率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default" w:ascii="Times New Roman" w:hAnsi="Times New Roman"/>
                <w:highlight w:val="none"/>
                <w:lang w:val="en-US" w:eastAsia="zh-CN"/>
              </w:rPr>
            </w:pPr>
            <w:r>
              <w:rPr>
                <w:rFonts w:hint="eastAsia" w:ascii="Times New Roman" w:hAnsi="Times New Roman"/>
                <w:highlight w:val="none"/>
                <w:lang w:val="en-US" w:eastAsia="zh-CN"/>
              </w:rPr>
              <w:t>100%</w:t>
            </w:r>
          </w:p>
        </w:tc>
        <w:tc>
          <w:tcPr>
            <w:tcW w:w="2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反应加强港澳台统战工作完成情况</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ind w:firstLine="0" w:firstLineChars="0"/>
              <w:rPr>
                <w:rFonts w:hint="default"/>
                <w:highlight w:val="none"/>
                <w:lang w:val="en-US" w:eastAsia="zh-CN"/>
              </w:rPr>
            </w:pPr>
            <w:r>
              <w:rPr>
                <w:rFonts w:hint="eastAsia"/>
                <w:color w:val="auto"/>
                <w:highlight w:val="none"/>
                <w:lang w:val="en-US" w:eastAsia="zh-CN"/>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default"/>
                <w:highlight w:val="none"/>
                <w:lang w:val="en-US" w:eastAsia="zh-CN"/>
              </w:rPr>
            </w:pPr>
            <w:r>
              <w:rPr>
                <w:rFonts w:hint="eastAsia"/>
                <w:color w:val="auto"/>
                <w:highlight w:val="none"/>
                <w:lang w:val="en-US" w:eastAsia="zh-CN"/>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加强海外统战工作和侨务工完成率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default" w:ascii="Times New Roman" w:hAnsi="Times New Roman"/>
                <w:highlight w:val="none"/>
                <w:lang w:val="en-US" w:eastAsia="zh-CN"/>
              </w:rPr>
            </w:pPr>
            <w:r>
              <w:rPr>
                <w:rFonts w:hint="eastAsia" w:ascii="Times New Roman" w:hAnsi="Times New Roman"/>
                <w:highlight w:val="none"/>
                <w:lang w:val="en-US" w:eastAsia="zh-CN"/>
              </w:rPr>
              <w:t>100%</w:t>
            </w:r>
          </w:p>
        </w:tc>
        <w:tc>
          <w:tcPr>
            <w:tcW w:w="2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反应加强海外统战工作和侨务工作完成情况</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ind w:firstLine="0" w:firstLineChars="0"/>
              <w:rPr>
                <w:rFonts w:hint="default"/>
                <w:highlight w:val="none"/>
                <w:lang w:val="en-US" w:eastAsia="zh-CN"/>
              </w:rPr>
            </w:pPr>
            <w:r>
              <w:rPr>
                <w:rFonts w:hint="eastAsia"/>
                <w:color w:val="auto"/>
                <w:highlight w:val="none"/>
                <w:lang w:val="en-US" w:eastAsia="zh-CN"/>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default"/>
                <w:highlight w:val="none"/>
                <w:lang w:val="en-US" w:eastAsia="zh-CN"/>
              </w:rPr>
            </w:pPr>
            <w:r>
              <w:rPr>
                <w:rFonts w:hint="eastAsia"/>
                <w:color w:val="auto"/>
                <w:highlight w:val="none"/>
                <w:lang w:val="en-US" w:eastAsia="zh-CN"/>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提升党外代表人士队伍建设完成率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100%</w:t>
            </w:r>
          </w:p>
        </w:tc>
        <w:tc>
          <w:tcPr>
            <w:tcW w:w="2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反应提升党外代表人士队伍建设完成情况</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ind w:firstLine="0" w:firstLineChars="0"/>
              <w:rPr>
                <w:rFonts w:hint="eastAsia" w:ascii="Times New Roman" w:hAnsi="Times New Roman"/>
                <w:color w:val="auto"/>
                <w:highlight w:val="none"/>
                <w:lang w:val="en-US" w:eastAsia="zh-CN"/>
              </w:rPr>
            </w:pPr>
            <w:r>
              <w:rPr>
                <w:rFonts w:hint="eastAsia" w:ascii="Times New Roman" w:hAnsi="Times New Roman"/>
                <w:color w:val="auto"/>
                <w:highlight w:val="none"/>
                <w:lang w:val="en-US" w:eastAsia="zh-CN"/>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highlight w:val="none"/>
              </w:rPr>
            </w:pPr>
            <w:r>
              <w:rPr>
                <w:rFonts w:hint="default"/>
                <w:color w:val="auto"/>
                <w:highlight w:val="none"/>
                <w:lang w:val="en-US" w:eastAsia="zh-CN"/>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履职目标实现</w:t>
            </w: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围绕中心大局凝心聚力目标实现率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100%</w:t>
            </w:r>
          </w:p>
        </w:tc>
        <w:tc>
          <w:tcPr>
            <w:tcW w:w="2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反应围绕中心大局凝心聚力目标实现情况</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ind w:firstLine="0" w:firstLineChars="0"/>
              <w:rPr>
                <w:rFonts w:hint="eastAsia" w:ascii="Times New Roman" w:hAnsi="Times New Roman"/>
                <w:color w:val="auto"/>
                <w:highlight w:val="none"/>
                <w:lang w:val="en-US" w:eastAsia="zh-CN"/>
              </w:rPr>
            </w:pPr>
            <w:r>
              <w:rPr>
                <w:rFonts w:hint="eastAsia" w:ascii="Times New Roman" w:hAnsi="Times New Roman"/>
                <w:color w:val="auto"/>
                <w:highlight w:val="none"/>
                <w:lang w:val="en-US" w:eastAsia="zh-CN"/>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中国共产党成立100周年活动目标实现率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100%</w:t>
            </w:r>
          </w:p>
        </w:tc>
        <w:tc>
          <w:tcPr>
            <w:tcW w:w="2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反应中国共产党成立100周年活动目标实现情况</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ind w:firstLine="0" w:firstLineChars="0"/>
              <w:rPr>
                <w:rFonts w:hint="eastAsia" w:ascii="Times New Roman" w:hAnsi="Times New Roman"/>
                <w:color w:val="auto"/>
                <w:highlight w:val="none"/>
                <w:lang w:val="en-US" w:eastAsia="zh-CN"/>
              </w:rPr>
            </w:pPr>
            <w:r>
              <w:rPr>
                <w:rFonts w:hint="eastAsia" w:ascii="Times New Roman" w:hAnsi="Times New Roman"/>
                <w:color w:val="auto"/>
                <w:highlight w:val="none"/>
                <w:lang w:val="en-US" w:eastAsia="zh-CN"/>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推动宗教治理由治标向治本深化目标实现率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100%</w:t>
            </w:r>
          </w:p>
        </w:tc>
        <w:tc>
          <w:tcPr>
            <w:tcW w:w="2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反应推动宗教治理由治标向治本深化目标实现情况</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ind w:firstLine="0" w:firstLineChars="0"/>
              <w:rPr>
                <w:rFonts w:hint="eastAsia" w:ascii="Times New Roman" w:hAnsi="Times New Roman"/>
                <w:color w:val="auto"/>
                <w:highlight w:val="none"/>
                <w:lang w:val="en-US" w:eastAsia="zh-CN"/>
              </w:rPr>
            </w:pPr>
            <w:r>
              <w:rPr>
                <w:rFonts w:hint="eastAsia" w:ascii="Times New Roman" w:hAnsi="Times New Roman"/>
                <w:color w:val="auto"/>
                <w:highlight w:val="none"/>
                <w:lang w:val="en-US" w:eastAsia="zh-CN"/>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default" w:eastAsia="仿宋"/>
                <w:highlight w:val="none"/>
                <w:lang w:val="en-US" w:eastAsia="zh-CN"/>
              </w:rPr>
            </w:pPr>
            <w:r>
              <w:rPr>
                <w:rFonts w:hint="eastAsia"/>
                <w:highlight w:val="none"/>
                <w:lang w:val="en-US" w:eastAsia="zh-CN"/>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default" w:eastAsia="仿宋"/>
                <w:highlight w:val="none"/>
                <w:lang w:val="en-US" w:eastAsia="zh-CN"/>
              </w:rPr>
            </w:pPr>
            <w:r>
              <w:rPr>
                <w:rFonts w:hint="eastAsia"/>
                <w:highlight w:val="none"/>
                <w:lang w:val="en-US" w:eastAsia="zh-CN"/>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nil"/>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提升多党合作制度效能目标实现率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100%</w:t>
            </w:r>
          </w:p>
        </w:tc>
        <w:tc>
          <w:tcPr>
            <w:tcW w:w="2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反应提升多党合作制度效能目标实现情况</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ind w:firstLine="0" w:firstLineChars="0"/>
              <w:rPr>
                <w:rFonts w:hint="eastAsia" w:ascii="Times New Roman" w:hAnsi="Times New Roman"/>
                <w:color w:val="auto"/>
                <w:highlight w:val="none"/>
                <w:lang w:val="en-US" w:eastAsia="zh-CN"/>
              </w:rPr>
            </w:pPr>
            <w:r>
              <w:rPr>
                <w:rFonts w:hint="eastAsia" w:ascii="Times New Roman" w:hAnsi="Times New Roman"/>
                <w:color w:val="auto"/>
                <w:highlight w:val="none"/>
                <w:lang w:val="en-US" w:eastAsia="zh-CN"/>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default" w:eastAsia="仿宋"/>
                <w:highlight w:val="none"/>
                <w:lang w:val="en-US" w:eastAsia="zh-CN"/>
              </w:rPr>
            </w:pPr>
            <w:r>
              <w:rPr>
                <w:rFonts w:hint="eastAsia"/>
                <w:color w:val="auto"/>
                <w:highlight w:val="none"/>
                <w:lang w:val="en-US" w:eastAsia="zh-CN"/>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nil"/>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加强无党派人士、党外知识分子和新的社会阶层人士统战工作目标实现率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100%</w:t>
            </w:r>
          </w:p>
        </w:tc>
        <w:tc>
          <w:tcPr>
            <w:tcW w:w="2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反应加强无党派人士、党外知识分子和新的社会阶层人士统战工作目标实现情况</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ind w:firstLine="0" w:firstLineChars="0"/>
              <w:rPr>
                <w:rFonts w:hint="eastAsia" w:ascii="Times New Roman" w:hAnsi="Times New Roman"/>
                <w:color w:val="auto"/>
                <w:highlight w:val="none"/>
                <w:lang w:val="en-US" w:eastAsia="zh-CN"/>
              </w:rPr>
            </w:pPr>
            <w:r>
              <w:rPr>
                <w:rFonts w:hint="eastAsia" w:ascii="Times New Roman" w:hAnsi="Times New Roman"/>
                <w:color w:val="auto"/>
                <w:highlight w:val="none"/>
                <w:lang w:val="en-US" w:eastAsia="zh-CN"/>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default"/>
                <w:highlight w:val="none"/>
                <w:lang w:val="en-US" w:eastAsia="zh-CN"/>
              </w:rPr>
            </w:pPr>
            <w:r>
              <w:rPr>
                <w:rFonts w:hint="eastAsia"/>
                <w:color w:val="auto"/>
                <w:highlight w:val="none"/>
                <w:lang w:val="en-US" w:eastAsia="zh-CN"/>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nil"/>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加强港澳台统战工作目标实现率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100%</w:t>
            </w:r>
          </w:p>
        </w:tc>
        <w:tc>
          <w:tcPr>
            <w:tcW w:w="2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反应加强港澳台统战工作目标实现情况</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ind w:firstLine="0" w:firstLineChars="0"/>
              <w:rPr>
                <w:rFonts w:hint="eastAsia" w:ascii="Times New Roman" w:hAnsi="Times New Roman"/>
                <w:color w:val="auto"/>
                <w:highlight w:val="none"/>
                <w:lang w:val="en-US" w:eastAsia="zh-CN"/>
              </w:rPr>
            </w:pPr>
            <w:r>
              <w:rPr>
                <w:rFonts w:hint="eastAsia" w:ascii="Times New Roman" w:hAnsi="Times New Roman"/>
                <w:color w:val="auto"/>
                <w:highlight w:val="none"/>
                <w:lang w:val="en-US" w:eastAsia="zh-CN"/>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default"/>
                <w:highlight w:val="none"/>
                <w:lang w:val="en-US" w:eastAsia="zh-CN"/>
              </w:rPr>
            </w:pPr>
            <w:r>
              <w:rPr>
                <w:rFonts w:hint="eastAsia"/>
                <w:color w:val="auto"/>
                <w:highlight w:val="none"/>
                <w:lang w:val="en-US" w:eastAsia="zh-CN"/>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nil"/>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加强海外统战工作和侨务工作目标实现率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100%</w:t>
            </w:r>
          </w:p>
        </w:tc>
        <w:tc>
          <w:tcPr>
            <w:tcW w:w="2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反应加强海外统战工作和侨务工作目标实现情况</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ind w:firstLine="0" w:firstLineChars="0"/>
              <w:rPr>
                <w:rFonts w:hint="eastAsia" w:ascii="Times New Roman" w:hAnsi="Times New Roman"/>
                <w:color w:val="auto"/>
                <w:highlight w:val="none"/>
                <w:lang w:val="en-US" w:eastAsia="zh-CN"/>
              </w:rPr>
            </w:pPr>
            <w:r>
              <w:rPr>
                <w:rFonts w:hint="eastAsia" w:ascii="Times New Roman" w:hAnsi="Times New Roman"/>
                <w:color w:val="auto"/>
                <w:highlight w:val="none"/>
                <w:lang w:val="en-US" w:eastAsia="zh-CN"/>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default"/>
                <w:highlight w:val="none"/>
                <w:lang w:val="en-US" w:eastAsia="zh-CN"/>
              </w:rPr>
            </w:pPr>
            <w:r>
              <w:rPr>
                <w:rFonts w:hint="eastAsia"/>
                <w:color w:val="auto"/>
                <w:highlight w:val="none"/>
                <w:lang w:val="en-US" w:eastAsia="zh-CN"/>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920" w:type="dxa"/>
            <w:tcBorders>
              <w:top w:val="single" w:color="000000" w:sz="4" w:space="0"/>
              <w:left w:val="single" w:color="000000" w:sz="4" w:space="0"/>
              <w:bottom w:val="single" w:color="000000" w:sz="4" w:space="0"/>
              <w:right w:val="nil"/>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提升党外代表人士队伍建设目标实现率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100%</w:t>
            </w:r>
          </w:p>
        </w:tc>
        <w:tc>
          <w:tcPr>
            <w:tcW w:w="28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反应提升党外代表人士队伍建设目标实现情况</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bidi w:val="0"/>
              <w:ind w:firstLine="0" w:firstLineChars="0"/>
              <w:rPr>
                <w:rFonts w:hint="eastAsia" w:ascii="Times New Roman" w:hAnsi="Times New Roman"/>
                <w:color w:val="auto"/>
                <w:highlight w:val="none"/>
                <w:lang w:val="en-US" w:eastAsia="zh-CN"/>
              </w:rPr>
            </w:pPr>
            <w:r>
              <w:rPr>
                <w:rFonts w:hint="eastAsia" w:ascii="Times New Roman" w:hAnsi="Times New Roman"/>
                <w:color w:val="auto"/>
                <w:highlight w:val="none"/>
                <w:lang w:val="en-US" w:eastAsia="zh-CN"/>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default"/>
                <w:highlight w:val="none"/>
                <w:lang w:val="en-US" w:eastAsia="zh-CN"/>
              </w:rPr>
            </w:pPr>
            <w:r>
              <w:rPr>
                <w:rFonts w:hint="eastAsia"/>
                <w:color w:val="auto"/>
                <w:highlight w:val="none"/>
                <w:lang w:val="en-US" w:eastAsia="zh-CN"/>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eastAsia" w:eastAsia="仿宋"/>
                <w:highlight w:val="none"/>
                <w:lang w:val="en-US" w:eastAsia="zh-CN"/>
              </w:rPr>
            </w:pPr>
            <w:r>
              <w:rPr>
                <w:rFonts w:hint="eastAsia"/>
                <w:color w:val="auto"/>
                <w:highlight w:val="none"/>
                <w:lang w:val="en-US" w:eastAsia="zh-CN"/>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102" w:hRule="atLeast"/>
          <w:jc w:val="center"/>
        </w:trPr>
        <w:tc>
          <w:tcPr>
            <w:tcW w:w="810" w:type="dxa"/>
            <w:vMerge w:val="restart"/>
            <w:tcBorders>
              <w:top w:val="single" w:color="000000" w:sz="4" w:space="0"/>
              <w:left w:val="single" w:color="000000" w:sz="4" w:space="0"/>
              <w:right w:val="single" w:color="000000" w:sz="4" w:space="0"/>
            </w:tcBorders>
            <w:shd w:val="clear" w:color="auto" w:fill="FFFFFF"/>
            <w:vAlign w:val="center"/>
          </w:tcPr>
          <w:p>
            <w:pPr>
              <w:pStyle w:val="16"/>
              <w:bidi w:val="0"/>
              <w:rPr>
                <w:highlight w:val="none"/>
              </w:rPr>
            </w:pPr>
            <w:r>
              <w:rPr>
                <w:rFonts w:hint="eastAsia"/>
                <w:highlight w:val="none"/>
              </w:rPr>
              <w:t>效益指标</w:t>
            </w:r>
          </w:p>
        </w:tc>
        <w:tc>
          <w:tcPr>
            <w:tcW w:w="1080" w:type="dxa"/>
            <w:vMerge w:val="restart"/>
            <w:tcBorders>
              <w:top w:val="single" w:color="000000" w:sz="4" w:space="0"/>
              <w:left w:val="single" w:color="000000" w:sz="4" w:space="0"/>
              <w:right w:val="single" w:color="000000" w:sz="4" w:space="0"/>
            </w:tcBorders>
            <w:shd w:val="clear" w:color="auto" w:fill="FFFFFF"/>
            <w:vAlign w:val="center"/>
          </w:tcPr>
          <w:p>
            <w:pPr>
              <w:pStyle w:val="16"/>
              <w:bidi w:val="0"/>
              <w:rPr>
                <w:highlight w:val="none"/>
              </w:rPr>
            </w:pPr>
            <w:r>
              <w:rPr>
                <w:highlight w:val="none"/>
              </w:rPr>
              <w:t>35</w:t>
            </w:r>
          </w:p>
        </w:tc>
        <w:tc>
          <w:tcPr>
            <w:tcW w:w="1275" w:type="dxa"/>
            <w:vMerge w:val="restart"/>
            <w:tcBorders>
              <w:top w:val="single" w:color="000000" w:sz="4" w:space="0"/>
              <w:left w:val="single" w:color="000000" w:sz="4" w:space="0"/>
              <w:right w:val="single" w:color="000000" w:sz="4" w:space="0"/>
            </w:tcBorders>
            <w:shd w:val="clear" w:color="auto" w:fill="FFFFFF"/>
            <w:vAlign w:val="center"/>
          </w:tcPr>
          <w:p>
            <w:pPr>
              <w:pStyle w:val="16"/>
              <w:bidi w:val="0"/>
              <w:rPr>
                <w:rFonts w:hint="eastAsia" w:eastAsia="仿宋"/>
                <w:highlight w:val="none"/>
                <w:lang w:eastAsia="zh-CN"/>
              </w:rPr>
            </w:pPr>
            <w:r>
              <w:rPr>
                <w:rFonts w:hint="eastAsia"/>
                <w:highlight w:val="none"/>
                <w:lang w:val="en-US" w:eastAsia="zh-CN"/>
              </w:rPr>
              <w:t>履职效益</w:t>
            </w:r>
          </w:p>
        </w:tc>
        <w:tc>
          <w:tcPr>
            <w:tcW w:w="1920" w:type="dxa"/>
            <w:vMerge w:val="restart"/>
            <w:tcBorders>
              <w:top w:val="single" w:color="000000" w:sz="4" w:space="0"/>
              <w:left w:val="single" w:color="000000" w:sz="4" w:space="0"/>
              <w:right w:val="single" w:color="000000" w:sz="4" w:space="0"/>
            </w:tcBorders>
            <w:shd w:val="clear" w:color="auto" w:fill="auto"/>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社会效益</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促进</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促进两岸关系更好的发展</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bidi w:val="0"/>
              <w:ind w:firstLine="0" w:firstLineChars="0"/>
              <w:rPr>
                <w:rFonts w:hint="eastAsia" w:ascii="Times New Roman" w:hAnsi="Times New Roman"/>
                <w:color w:val="auto"/>
                <w:highlight w:val="none"/>
                <w:lang w:val="en-US" w:eastAsia="zh-CN"/>
              </w:rPr>
            </w:pPr>
            <w:r>
              <w:rPr>
                <w:rFonts w:hint="eastAsia" w:ascii="Times New Roman" w:hAnsi="Times New Roman"/>
                <w:highlight w:val="none"/>
                <w:lang w:val="en-US" w:eastAsia="zh-CN"/>
              </w:rPr>
              <w:t>促进</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default" w:eastAsia="仿宋"/>
                <w:highlight w:val="none"/>
                <w:lang w:val="en-US" w:eastAsia="zh-CN"/>
              </w:rPr>
            </w:pPr>
            <w:r>
              <w:rPr>
                <w:rFonts w:hint="eastAsia"/>
                <w:color w:val="auto"/>
                <w:highlight w:val="none"/>
                <w:lang w:val="en-US" w:eastAsia="zh-CN"/>
              </w:rPr>
              <w:t>4</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default" w:eastAsia="仿宋"/>
                <w:highlight w:val="none"/>
                <w:lang w:val="en-US" w:eastAsia="zh-CN"/>
              </w:rPr>
            </w:pPr>
            <w:r>
              <w:rPr>
                <w:rFonts w:hint="eastAsia"/>
                <w:color w:val="auto"/>
                <w:highlight w:val="none"/>
                <w:lang w:val="en-US" w:eastAsia="zh-CN"/>
              </w:rPr>
              <w:t>4</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102" w:hRule="atLeast"/>
          <w:jc w:val="center"/>
        </w:trPr>
        <w:tc>
          <w:tcPr>
            <w:tcW w:w="810" w:type="dxa"/>
            <w:vMerge w:val="continue"/>
            <w:tcBorders>
              <w:left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left w:val="single" w:color="000000" w:sz="4" w:space="0"/>
              <w:right w:val="single" w:color="000000" w:sz="4" w:space="0"/>
            </w:tcBorders>
            <w:shd w:val="clear" w:color="auto" w:fill="FFFFFF"/>
            <w:vAlign w:val="center"/>
          </w:tcPr>
          <w:p>
            <w:pPr>
              <w:pStyle w:val="16"/>
              <w:bidi w:val="0"/>
              <w:rPr>
                <w:highlight w:val="none"/>
              </w:rPr>
            </w:pPr>
          </w:p>
        </w:tc>
        <w:tc>
          <w:tcPr>
            <w:tcW w:w="1275" w:type="dxa"/>
            <w:vMerge w:val="continue"/>
            <w:tcBorders>
              <w:left w:val="single" w:color="000000" w:sz="4" w:space="0"/>
              <w:right w:val="single" w:color="000000" w:sz="4" w:space="0"/>
            </w:tcBorders>
            <w:shd w:val="clear" w:color="auto" w:fill="FFFFFF"/>
            <w:vAlign w:val="center"/>
          </w:tcPr>
          <w:p>
            <w:pPr>
              <w:pStyle w:val="16"/>
              <w:bidi w:val="0"/>
              <w:rPr>
                <w:highlight w:val="none"/>
              </w:rPr>
            </w:pPr>
          </w:p>
        </w:tc>
        <w:tc>
          <w:tcPr>
            <w:tcW w:w="1920" w:type="dxa"/>
            <w:vMerge w:val="continue"/>
            <w:tcBorders>
              <w:left w:val="single" w:color="000000" w:sz="4" w:space="0"/>
              <w:right w:val="single" w:color="000000" w:sz="4" w:space="0"/>
            </w:tcBorders>
            <w:shd w:val="clear" w:color="auto" w:fill="auto"/>
            <w:vAlign w:val="center"/>
          </w:tcPr>
          <w:p>
            <w:pPr>
              <w:pStyle w:val="16"/>
              <w:bidi w:val="0"/>
              <w:rPr>
                <w:rFonts w:hint="eastAsia" w:ascii="Times New Roman" w:hAnsi="Times New Roman"/>
                <w:highlight w:val="none"/>
                <w:lang w:val="en-US" w:eastAsia="zh-CN"/>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促进</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促进民族宗教领域和谐稳定</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bidi w:val="0"/>
              <w:ind w:firstLine="0" w:firstLineChars="0"/>
              <w:rPr>
                <w:rFonts w:hint="eastAsia" w:ascii="Times New Roman" w:hAnsi="Times New Roman"/>
                <w:color w:val="auto"/>
                <w:highlight w:val="none"/>
                <w:lang w:val="en-US" w:eastAsia="zh-CN"/>
              </w:rPr>
            </w:pPr>
            <w:r>
              <w:rPr>
                <w:rFonts w:hint="eastAsia" w:ascii="Times New Roman" w:hAnsi="Times New Roman"/>
                <w:highlight w:val="none"/>
                <w:lang w:val="en-US" w:eastAsia="zh-CN"/>
              </w:rPr>
              <w:t>促进</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default" w:eastAsia="仿宋"/>
                <w:highlight w:val="none"/>
                <w:lang w:val="en-US" w:eastAsia="zh-CN"/>
              </w:rPr>
            </w:pPr>
            <w:r>
              <w:rPr>
                <w:rFonts w:hint="eastAsia"/>
                <w:color w:val="auto"/>
                <w:highlight w:val="none"/>
                <w:lang w:val="en-US" w:eastAsia="zh-CN"/>
              </w:rPr>
              <w:t>4</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default" w:eastAsia="仿宋"/>
                <w:highlight w:val="none"/>
                <w:lang w:val="en-US" w:eastAsia="zh-CN"/>
              </w:rPr>
            </w:pPr>
            <w:r>
              <w:rPr>
                <w:rFonts w:hint="eastAsia"/>
                <w:color w:val="auto"/>
                <w:highlight w:val="none"/>
                <w:lang w:val="en-US" w:eastAsia="zh-CN"/>
              </w:rPr>
              <w:t>4</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highlight w:val="none"/>
              </w:rPr>
            </w:pPr>
          </w:p>
        </w:tc>
      </w:tr>
      <w:tr>
        <w:tblPrEx>
          <w:tblCellMar>
            <w:top w:w="0" w:type="dxa"/>
            <w:left w:w="108" w:type="dxa"/>
            <w:bottom w:w="0" w:type="dxa"/>
            <w:right w:w="108" w:type="dxa"/>
          </w:tblCellMar>
        </w:tblPrEx>
        <w:trPr>
          <w:trHeight w:val="102" w:hRule="atLeast"/>
          <w:jc w:val="center"/>
        </w:trPr>
        <w:tc>
          <w:tcPr>
            <w:tcW w:w="810" w:type="dxa"/>
            <w:vMerge w:val="continue"/>
            <w:tcBorders>
              <w:left w:val="single" w:color="000000" w:sz="4" w:space="0"/>
              <w:right w:val="single" w:color="000000" w:sz="4" w:space="0"/>
            </w:tcBorders>
            <w:shd w:val="clear" w:color="auto" w:fill="FFFFFF"/>
            <w:vAlign w:val="center"/>
          </w:tcPr>
          <w:p>
            <w:pPr>
              <w:pStyle w:val="16"/>
              <w:bidi w:val="0"/>
              <w:rPr>
                <w:rFonts w:hint="eastAsia"/>
                <w:highlight w:val="none"/>
              </w:rPr>
            </w:pPr>
          </w:p>
        </w:tc>
        <w:tc>
          <w:tcPr>
            <w:tcW w:w="1080" w:type="dxa"/>
            <w:vMerge w:val="continue"/>
            <w:tcBorders>
              <w:left w:val="single" w:color="000000" w:sz="4" w:space="0"/>
              <w:right w:val="single" w:color="000000" w:sz="4" w:space="0"/>
            </w:tcBorders>
            <w:shd w:val="clear" w:color="auto" w:fill="FFFFFF"/>
            <w:vAlign w:val="center"/>
          </w:tcPr>
          <w:p>
            <w:pPr>
              <w:pStyle w:val="16"/>
              <w:bidi w:val="0"/>
              <w:rPr>
                <w:rFonts w:hint="eastAsia"/>
                <w:highlight w:val="none"/>
              </w:rPr>
            </w:pPr>
          </w:p>
        </w:tc>
        <w:tc>
          <w:tcPr>
            <w:tcW w:w="1275" w:type="dxa"/>
            <w:vMerge w:val="continue"/>
            <w:tcBorders>
              <w:left w:val="single" w:color="000000" w:sz="4" w:space="0"/>
              <w:right w:val="single" w:color="000000" w:sz="4" w:space="0"/>
            </w:tcBorders>
            <w:shd w:val="clear" w:color="auto" w:fill="FFFFFF"/>
            <w:vAlign w:val="center"/>
          </w:tcPr>
          <w:p>
            <w:pPr>
              <w:pStyle w:val="16"/>
              <w:bidi w:val="0"/>
              <w:rPr>
                <w:rFonts w:hint="eastAsia"/>
                <w:highlight w:val="none"/>
              </w:rPr>
            </w:pPr>
          </w:p>
        </w:tc>
        <w:tc>
          <w:tcPr>
            <w:tcW w:w="1920" w:type="dxa"/>
            <w:vMerge w:val="continue"/>
            <w:tcBorders>
              <w:left w:val="single" w:color="000000" w:sz="4" w:space="0"/>
              <w:right w:val="single" w:color="000000" w:sz="4" w:space="0"/>
            </w:tcBorders>
            <w:shd w:val="clear" w:color="auto" w:fill="auto"/>
            <w:vAlign w:val="center"/>
          </w:tcPr>
          <w:p>
            <w:pPr>
              <w:pStyle w:val="16"/>
              <w:bidi w:val="0"/>
              <w:rPr>
                <w:rFonts w:hint="eastAsia" w:ascii="Times New Roman" w:hAnsi="Times New Roman"/>
                <w:highlight w:val="none"/>
                <w:lang w:val="en-US" w:eastAsia="zh-CN"/>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提高</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加强理论学习，提高新的社会阶层人士思想认识</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bidi w:val="0"/>
              <w:ind w:firstLine="0" w:firstLineChars="0"/>
              <w:rPr>
                <w:rFonts w:hint="eastAsia" w:ascii="Times New Roman" w:hAnsi="Times New Roman"/>
                <w:color w:val="auto"/>
                <w:highlight w:val="none"/>
                <w:lang w:val="en-US" w:eastAsia="zh-CN"/>
              </w:rPr>
            </w:pPr>
            <w:r>
              <w:rPr>
                <w:rFonts w:hint="eastAsia"/>
                <w:highlight w:val="none"/>
                <w:lang w:val="en-US" w:eastAsia="zh-CN"/>
              </w:rPr>
              <w:t>基本</w:t>
            </w:r>
            <w:r>
              <w:rPr>
                <w:rFonts w:hint="eastAsia" w:ascii="Times New Roman" w:hAnsi="Times New Roman"/>
                <w:highlight w:val="none"/>
                <w:lang w:val="en-US" w:eastAsia="zh-CN"/>
              </w:rPr>
              <w:t>提高</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default" w:eastAsia="仿宋"/>
                <w:highlight w:val="none"/>
                <w:lang w:val="en-US" w:eastAsia="zh-CN"/>
              </w:rPr>
            </w:pPr>
            <w:r>
              <w:rPr>
                <w:rFonts w:hint="eastAsia"/>
                <w:color w:val="auto"/>
                <w:highlight w:val="none"/>
                <w:lang w:val="en-US" w:eastAsia="zh-CN"/>
              </w:rPr>
              <w:t>4</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default" w:eastAsia="仿宋"/>
                <w:highlight w:val="none"/>
                <w:lang w:val="en-US" w:eastAsia="zh-CN"/>
              </w:rPr>
            </w:pPr>
            <w:r>
              <w:rPr>
                <w:rFonts w:hint="eastAsia"/>
                <w:highlight w:val="none"/>
                <w:lang w:val="en-US" w:eastAsia="zh-CN"/>
              </w:rPr>
              <w:t>3</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default" w:eastAsia="仿宋"/>
                <w:highlight w:val="none"/>
                <w:lang w:val="en-US" w:eastAsia="zh-CN"/>
              </w:rPr>
            </w:pPr>
            <w:r>
              <w:rPr>
                <w:rFonts w:hint="eastAsia"/>
                <w:highlight w:val="none"/>
                <w:lang w:val="en-US" w:eastAsia="zh-CN"/>
              </w:rPr>
              <w:t>集体学习，汇报交流活动较少，下一步需多组织相关活动</w:t>
            </w:r>
          </w:p>
        </w:tc>
      </w:tr>
      <w:tr>
        <w:tblPrEx>
          <w:tblCellMar>
            <w:top w:w="0" w:type="dxa"/>
            <w:left w:w="108" w:type="dxa"/>
            <w:bottom w:w="0" w:type="dxa"/>
            <w:right w:w="108" w:type="dxa"/>
          </w:tblCellMar>
        </w:tblPrEx>
        <w:trPr>
          <w:trHeight w:val="102" w:hRule="atLeast"/>
          <w:jc w:val="center"/>
        </w:trPr>
        <w:tc>
          <w:tcPr>
            <w:tcW w:w="810" w:type="dxa"/>
            <w:vMerge w:val="continue"/>
            <w:tcBorders>
              <w:left w:val="single" w:color="000000" w:sz="4" w:space="0"/>
              <w:right w:val="single" w:color="000000" w:sz="4" w:space="0"/>
            </w:tcBorders>
            <w:shd w:val="clear" w:color="auto" w:fill="FFFFFF"/>
            <w:vAlign w:val="center"/>
          </w:tcPr>
          <w:p>
            <w:pPr>
              <w:pStyle w:val="16"/>
              <w:bidi w:val="0"/>
              <w:rPr>
                <w:rFonts w:hint="eastAsia"/>
                <w:highlight w:val="none"/>
              </w:rPr>
            </w:pPr>
          </w:p>
        </w:tc>
        <w:tc>
          <w:tcPr>
            <w:tcW w:w="1080" w:type="dxa"/>
            <w:vMerge w:val="continue"/>
            <w:tcBorders>
              <w:left w:val="single" w:color="000000" w:sz="4" w:space="0"/>
              <w:right w:val="single" w:color="000000" w:sz="4" w:space="0"/>
            </w:tcBorders>
            <w:shd w:val="clear" w:color="auto" w:fill="FFFFFF"/>
            <w:vAlign w:val="center"/>
          </w:tcPr>
          <w:p>
            <w:pPr>
              <w:pStyle w:val="16"/>
              <w:bidi w:val="0"/>
              <w:rPr>
                <w:rFonts w:hint="eastAsia"/>
                <w:highlight w:val="none"/>
              </w:rPr>
            </w:pPr>
          </w:p>
        </w:tc>
        <w:tc>
          <w:tcPr>
            <w:tcW w:w="1275" w:type="dxa"/>
            <w:vMerge w:val="continue"/>
            <w:tcBorders>
              <w:left w:val="single" w:color="000000" w:sz="4" w:space="0"/>
              <w:right w:val="single" w:color="000000" w:sz="4" w:space="0"/>
            </w:tcBorders>
            <w:shd w:val="clear" w:color="auto" w:fill="FFFFFF"/>
            <w:vAlign w:val="center"/>
          </w:tcPr>
          <w:p>
            <w:pPr>
              <w:pStyle w:val="16"/>
              <w:bidi w:val="0"/>
              <w:rPr>
                <w:rFonts w:hint="eastAsia"/>
                <w:highlight w:val="none"/>
              </w:rPr>
            </w:pPr>
          </w:p>
        </w:tc>
        <w:tc>
          <w:tcPr>
            <w:tcW w:w="1920" w:type="dxa"/>
            <w:vMerge w:val="continue"/>
            <w:tcBorders>
              <w:left w:val="single" w:color="000000" w:sz="4" w:space="0"/>
              <w:right w:val="single" w:color="000000" w:sz="4" w:space="0"/>
            </w:tcBorders>
            <w:shd w:val="clear" w:color="auto" w:fill="auto"/>
            <w:vAlign w:val="center"/>
          </w:tcPr>
          <w:p>
            <w:pPr>
              <w:pStyle w:val="16"/>
              <w:bidi w:val="0"/>
              <w:rPr>
                <w:rFonts w:hint="eastAsia" w:ascii="Times New Roman" w:hAnsi="Times New Roman"/>
                <w:highlight w:val="none"/>
                <w:lang w:val="en-US" w:eastAsia="zh-CN"/>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加强</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bidi w:val="0"/>
              <w:rPr>
                <w:rFonts w:hint="eastAsia" w:ascii="Times New Roman" w:hAnsi="Times New Roman"/>
                <w:highlight w:val="none"/>
                <w:lang w:val="en-US" w:eastAsia="zh-CN"/>
              </w:rPr>
            </w:pPr>
            <w:r>
              <w:rPr>
                <w:rFonts w:hint="eastAsia" w:ascii="Times New Roman" w:hAnsi="Times New Roman"/>
                <w:highlight w:val="none"/>
                <w:lang w:val="en-US" w:eastAsia="zh-CN"/>
              </w:rPr>
              <w:t>强化干部政治意识，加强统战干部队伍建设</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bidi w:val="0"/>
              <w:ind w:firstLine="0" w:firstLineChars="0"/>
              <w:rPr>
                <w:rFonts w:hint="eastAsia" w:ascii="Times New Roman" w:hAnsi="Times New Roman"/>
                <w:color w:val="auto"/>
                <w:highlight w:val="none"/>
                <w:lang w:val="en-US" w:eastAsia="zh-CN"/>
              </w:rPr>
            </w:pPr>
            <w:r>
              <w:rPr>
                <w:rFonts w:hint="eastAsia"/>
                <w:highlight w:val="none"/>
                <w:lang w:val="en-US" w:eastAsia="zh-CN"/>
              </w:rPr>
              <w:t>基本</w:t>
            </w:r>
            <w:r>
              <w:rPr>
                <w:rFonts w:hint="eastAsia" w:ascii="Times New Roman" w:hAnsi="Times New Roman"/>
                <w:highlight w:val="none"/>
                <w:lang w:val="en-US" w:eastAsia="zh-CN"/>
              </w:rPr>
              <w:t>加强</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default" w:eastAsia="仿宋"/>
                <w:highlight w:val="none"/>
                <w:lang w:val="en-US" w:eastAsia="zh-CN"/>
              </w:rPr>
            </w:pPr>
            <w:r>
              <w:rPr>
                <w:rFonts w:hint="eastAsia"/>
                <w:color w:val="auto"/>
                <w:highlight w:val="none"/>
                <w:lang w:val="en-US" w:eastAsia="zh-CN"/>
              </w:rPr>
              <w:t>4</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default" w:eastAsia="仿宋"/>
                <w:highlight w:val="none"/>
                <w:lang w:val="en-US" w:eastAsia="zh-CN"/>
              </w:rPr>
            </w:pPr>
            <w:r>
              <w:rPr>
                <w:rFonts w:hint="eastAsia"/>
                <w:highlight w:val="none"/>
                <w:lang w:val="en-US" w:eastAsia="zh-CN"/>
              </w:rPr>
              <w:t>3</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highlight w:val="none"/>
              </w:rPr>
            </w:pPr>
            <w:r>
              <w:rPr>
                <w:rFonts w:hint="eastAsia"/>
                <w:highlight w:val="none"/>
                <w:lang w:val="en-US" w:eastAsia="zh-CN"/>
              </w:rPr>
              <w:t>集体学习，汇报交流活动较少，下一步需多组织相关活动</w:t>
            </w:r>
          </w:p>
        </w:tc>
      </w:tr>
      <w:tr>
        <w:tblPrEx>
          <w:tblCellMar>
            <w:top w:w="0" w:type="dxa"/>
            <w:left w:w="108" w:type="dxa"/>
            <w:bottom w:w="0" w:type="dxa"/>
            <w:right w:w="108" w:type="dxa"/>
          </w:tblCellMar>
        </w:tblPrEx>
        <w:trPr>
          <w:trHeight w:val="102" w:hRule="atLeast"/>
          <w:jc w:val="center"/>
        </w:trPr>
        <w:tc>
          <w:tcPr>
            <w:tcW w:w="810" w:type="dxa"/>
            <w:vMerge w:val="continue"/>
            <w:tcBorders>
              <w:left w:val="single" w:color="000000" w:sz="4" w:space="0"/>
              <w:right w:val="single" w:color="000000" w:sz="4" w:space="0"/>
            </w:tcBorders>
            <w:shd w:val="clear" w:color="auto" w:fill="FFFFFF"/>
            <w:vAlign w:val="center"/>
          </w:tcPr>
          <w:p>
            <w:pPr>
              <w:pStyle w:val="16"/>
              <w:bidi w:val="0"/>
              <w:rPr>
                <w:rFonts w:hint="eastAsia"/>
                <w:highlight w:val="none"/>
              </w:rPr>
            </w:pPr>
          </w:p>
        </w:tc>
        <w:tc>
          <w:tcPr>
            <w:tcW w:w="1080" w:type="dxa"/>
            <w:vMerge w:val="continue"/>
            <w:tcBorders>
              <w:left w:val="single" w:color="000000" w:sz="4" w:space="0"/>
              <w:right w:val="single" w:color="000000" w:sz="4" w:space="0"/>
            </w:tcBorders>
            <w:shd w:val="clear" w:color="auto" w:fill="FFFFFF"/>
            <w:vAlign w:val="center"/>
          </w:tcPr>
          <w:p>
            <w:pPr>
              <w:pStyle w:val="16"/>
              <w:bidi w:val="0"/>
              <w:rPr>
                <w:rFonts w:hint="eastAsia"/>
                <w:highlight w:val="none"/>
              </w:rPr>
            </w:pPr>
          </w:p>
        </w:tc>
        <w:tc>
          <w:tcPr>
            <w:tcW w:w="1275" w:type="dxa"/>
            <w:vMerge w:val="continue"/>
            <w:tcBorders>
              <w:left w:val="single" w:color="000000" w:sz="4" w:space="0"/>
              <w:right w:val="single" w:color="000000" w:sz="4" w:space="0"/>
            </w:tcBorders>
            <w:shd w:val="clear" w:color="auto" w:fill="FFFFFF"/>
            <w:vAlign w:val="center"/>
          </w:tcPr>
          <w:p>
            <w:pPr>
              <w:pStyle w:val="16"/>
              <w:bidi w:val="0"/>
              <w:rPr>
                <w:rFonts w:hint="eastAsia"/>
                <w:highlight w:val="none"/>
              </w:rPr>
            </w:pPr>
          </w:p>
        </w:tc>
        <w:tc>
          <w:tcPr>
            <w:tcW w:w="1920" w:type="dxa"/>
            <w:vMerge w:val="continue"/>
            <w:tcBorders>
              <w:left w:val="single" w:color="000000" w:sz="4" w:space="0"/>
              <w:right w:val="single" w:color="000000" w:sz="4" w:space="0"/>
            </w:tcBorders>
            <w:shd w:val="clear" w:color="auto" w:fill="auto"/>
            <w:vAlign w:val="center"/>
          </w:tcPr>
          <w:p>
            <w:pPr>
              <w:pStyle w:val="16"/>
              <w:bidi w:val="0"/>
              <w:rPr>
                <w:rFonts w:hint="eastAsia"/>
                <w:highlight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bidi w:val="0"/>
              <w:rPr>
                <w:rFonts w:hint="eastAsia"/>
                <w:highlight w:val="none"/>
              </w:rPr>
            </w:pPr>
            <w:r>
              <w:rPr>
                <w:rFonts w:hint="eastAsia"/>
                <w:highlight w:val="none"/>
                <w:lang w:val="en-US" w:eastAsia="zh-CN"/>
              </w:rPr>
              <w:t>加强</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bidi w:val="0"/>
              <w:ind w:firstLine="0" w:firstLineChars="0"/>
              <w:rPr>
                <w:rFonts w:hint="eastAsia"/>
                <w:highlight w:val="none"/>
              </w:rPr>
            </w:pPr>
            <w:r>
              <w:rPr>
                <w:rFonts w:hint="eastAsia"/>
                <w:highlight w:val="none"/>
                <w:lang w:val="en-US" w:eastAsia="zh-CN"/>
              </w:rPr>
              <w:t>围绕中心服务大局，凝心聚力</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bidi w:val="0"/>
              <w:ind w:firstLine="0" w:firstLineChars="0"/>
              <w:rPr>
                <w:rFonts w:hint="eastAsia" w:ascii="Times New Roman" w:hAnsi="Times New Roman"/>
                <w:color w:val="auto"/>
                <w:highlight w:val="none"/>
                <w:lang w:val="en-US" w:eastAsia="zh-CN"/>
              </w:rPr>
            </w:pPr>
            <w:r>
              <w:rPr>
                <w:rFonts w:hint="eastAsia"/>
                <w:highlight w:val="none"/>
                <w:lang w:val="en-US" w:eastAsia="zh-CN"/>
              </w:rPr>
              <w:t>加强</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default" w:eastAsia="仿宋"/>
                <w:highlight w:val="none"/>
                <w:lang w:val="en-US" w:eastAsia="zh-CN"/>
              </w:rPr>
            </w:pPr>
            <w:r>
              <w:rPr>
                <w:rFonts w:hint="eastAsia"/>
                <w:color w:val="auto"/>
                <w:highlight w:val="none"/>
                <w:lang w:val="en-US" w:eastAsia="zh-CN"/>
              </w:rPr>
              <w:t>4</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default" w:eastAsia="仿宋"/>
                <w:highlight w:val="none"/>
                <w:lang w:val="en-US" w:eastAsia="zh-CN"/>
              </w:rPr>
            </w:pPr>
            <w:r>
              <w:rPr>
                <w:rFonts w:hint="eastAsia"/>
                <w:color w:val="auto"/>
                <w:highlight w:val="none"/>
                <w:lang w:val="en-US" w:eastAsia="zh-CN"/>
              </w:rPr>
              <w:t>4</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highlight w:val="none"/>
              </w:rPr>
            </w:pPr>
          </w:p>
        </w:tc>
      </w:tr>
      <w:tr>
        <w:tblPrEx>
          <w:tblCellMar>
            <w:top w:w="0" w:type="dxa"/>
            <w:left w:w="108" w:type="dxa"/>
            <w:bottom w:w="0" w:type="dxa"/>
            <w:right w:w="108" w:type="dxa"/>
          </w:tblCellMar>
        </w:tblPrEx>
        <w:trPr>
          <w:trHeight w:val="102" w:hRule="atLeast"/>
          <w:jc w:val="center"/>
        </w:trPr>
        <w:tc>
          <w:tcPr>
            <w:tcW w:w="810" w:type="dxa"/>
            <w:vMerge w:val="continue"/>
            <w:tcBorders>
              <w:left w:val="single" w:color="000000" w:sz="4" w:space="0"/>
              <w:bottom w:val="single" w:color="000000" w:sz="4" w:space="0"/>
              <w:right w:val="single" w:color="000000" w:sz="4" w:space="0"/>
            </w:tcBorders>
            <w:shd w:val="clear" w:color="auto" w:fill="FFFFFF"/>
            <w:vAlign w:val="center"/>
          </w:tcPr>
          <w:p>
            <w:pPr>
              <w:pStyle w:val="16"/>
              <w:bidi w:val="0"/>
              <w:rPr>
                <w:rFonts w:hint="eastAsia"/>
                <w:highlight w:val="none"/>
              </w:rPr>
            </w:pPr>
          </w:p>
        </w:tc>
        <w:tc>
          <w:tcPr>
            <w:tcW w:w="1080" w:type="dxa"/>
            <w:vMerge w:val="continue"/>
            <w:tcBorders>
              <w:left w:val="single" w:color="000000" w:sz="4" w:space="0"/>
              <w:bottom w:val="single" w:color="000000" w:sz="4" w:space="0"/>
              <w:right w:val="single" w:color="000000" w:sz="4" w:space="0"/>
            </w:tcBorders>
            <w:shd w:val="clear" w:color="auto" w:fill="FFFFFF"/>
            <w:vAlign w:val="center"/>
          </w:tcPr>
          <w:p>
            <w:pPr>
              <w:pStyle w:val="16"/>
              <w:bidi w:val="0"/>
              <w:rPr>
                <w:rFonts w:hint="eastAsia"/>
                <w:highlight w:val="none"/>
              </w:rPr>
            </w:pPr>
          </w:p>
        </w:tc>
        <w:tc>
          <w:tcPr>
            <w:tcW w:w="1275" w:type="dxa"/>
            <w:vMerge w:val="continue"/>
            <w:tcBorders>
              <w:left w:val="single" w:color="000000" w:sz="4" w:space="0"/>
              <w:bottom w:val="single" w:color="000000" w:sz="4" w:space="0"/>
              <w:right w:val="single" w:color="000000" w:sz="4" w:space="0"/>
            </w:tcBorders>
            <w:shd w:val="clear" w:color="auto" w:fill="FFFFFF"/>
            <w:vAlign w:val="center"/>
          </w:tcPr>
          <w:p>
            <w:pPr>
              <w:pStyle w:val="16"/>
              <w:bidi w:val="0"/>
              <w:rPr>
                <w:rFonts w:hint="eastAsia"/>
                <w:highlight w:val="none"/>
              </w:rPr>
            </w:pPr>
          </w:p>
        </w:tc>
        <w:tc>
          <w:tcPr>
            <w:tcW w:w="1920" w:type="dxa"/>
            <w:vMerge w:val="continue"/>
            <w:tcBorders>
              <w:left w:val="single" w:color="000000" w:sz="4" w:space="0"/>
              <w:bottom w:val="single" w:color="000000" w:sz="4" w:space="0"/>
              <w:right w:val="single" w:color="000000" w:sz="4" w:space="0"/>
            </w:tcBorders>
            <w:shd w:val="clear" w:color="auto" w:fill="auto"/>
            <w:vAlign w:val="center"/>
          </w:tcPr>
          <w:p>
            <w:pPr>
              <w:pStyle w:val="16"/>
              <w:bidi w:val="0"/>
              <w:rPr>
                <w:rFonts w:hint="eastAsia"/>
                <w:highlight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bidi w:val="0"/>
              <w:rPr>
                <w:rFonts w:hint="eastAsia"/>
                <w:highlight w:val="none"/>
              </w:rPr>
            </w:pPr>
            <w:r>
              <w:rPr>
                <w:rFonts w:hint="eastAsia"/>
                <w:highlight w:val="none"/>
                <w:lang w:val="en-US" w:eastAsia="zh-CN"/>
              </w:rPr>
              <w:t>提升</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bidi w:val="0"/>
              <w:ind w:firstLine="0" w:firstLineChars="0"/>
              <w:rPr>
                <w:rFonts w:hint="eastAsia"/>
                <w:highlight w:val="none"/>
              </w:rPr>
            </w:pPr>
            <w:r>
              <w:rPr>
                <w:rFonts w:hint="eastAsia"/>
                <w:highlight w:val="none"/>
                <w:lang w:val="en-US" w:eastAsia="zh-CN"/>
              </w:rPr>
              <w:t>让广大海外侨胞了解祖国的发展成就，提升海外侨胞的爱国意识</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bidi w:val="0"/>
              <w:ind w:firstLine="0" w:firstLineChars="0"/>
              <w:rPr>
                <w:rFonts w:hint="eastAsia" w:ascii="Times New Roman" w:hAnsi="Times New Roman" w:eastAsia="仿宋" w:cstheme="minorBidi"/>
                <w:kern w:val="2"/>
                <w:sz w:val="24"/>
                <w:szCs w:val="24"/>
                <w:highlight w:val="none"/>
                <w:lang w:val="en-US" w:eastAsia="zh-CN" w:bidi="ar-SA"/>
              </w:rPr>
            </w:pPr>
            <w:r>
              <w:rPr>
                <w:rFonts w:hint="eastAsia"/>
                <w:highlight w:val="none"/>
                <w:lang w:val="en-US" w:eastAsia="zh-CN"/>
              </w:rPr>
              <w:t>提升</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default" w:eastAsia="仿宋"/>
                <w:highlight w:val="none"/>
                <w:lang w:val="en-US" w:eastAsia="zh-CN"/>
              </w:rPr>
            </w:pPr>
            <w:r>
              <w:rPr>
                <w:rFonts w:hint="eastAsia"/>
                <w:color w:val="auto"/>
                <w:highlight w:val="none"/>
                <w:lang w:val="en-US" w:eastAsia="zh-CN"/>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default" w:eastAsia="仿宋"/>
                <w:highlight w:val="none"/>
                <w:lang w:val="en-US" w:eastAsia="zh-CN"/>
              </w:rPr>
            </w:pPr>
            <w:r>
              <w:rPr>
                <w:rFonts w:hint="eastAsia"/>
                <w:color w:val="auto"/>
                <w:highlight w:val="none"/>
                <w:lang w:val="en-US" w:eastAsia="zh-CN"/>
              </w:rPr>
              <w:t>5</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highlight w:val="none"/>
              </w:rPr>
            </w:pPr>
          </w:p>
        </w:tc>
      </w:tr>
      <w:tr>
        <w:tblPrEx>
          <w:tblCellMar>
            <w:top w:w="0" w:type="dxa"/>
            <w:left w:w="108" w:type="dxa"/>
            <w:bottom w:w="0" w:type="dxa"/>
            <w:right w:w="108" w:type="dxa"/>
          </w:tblCellMar>
        </w:tblPrEx>
        <w:trPr>
          <w:trHeight w:val="567" w:hRule="atLeast"/>
          <w:jc w:val="center"/>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pStyle w:val="16"/>
              <w:bidi w:val="0"/>
              <w:rPr>
                <w:highlight w:val="none"/>
              </w:rPr>
            </w:pPr>
            <w:r>
              <w:rPr>
                <w:rFonts w:hint="eastAsia"/>
                <w:highlight w:val="none"/>
              </w:rPr>
              <w:t>满意度</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bidi w:val="0"/>
              <w:rPr>
                <w:highlight w:val="none"/>
              </w:rPr>
            </w:pPr>
            <w:r>
              <w:rPr>
                <w:rFonts w:hint="eastAsia"/>
                <w:highlight w:val="none"/>
              </w:rPr>
              <w:t>群众满意度</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bidi w:val="0"/>
              <w:rPr>
                <w:highlight w:val="none"/>
              </w:rPr>
            </w:pPr>
            <w:r>
              <w:rPr>
                <w:rFonts w:hint="eastAsia"/>
                <w:highlight w:val="none"/>
                <w:lang w:val="en-US" w:eastAsia="zh-CN"/>
              </w:rPr>
              <w:t>≥90%</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反映服务对象对部门履职效果的满意程度。</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bidi w:val="0"/>
              <w:ind w:firstLine="0" w:firstLineChars="0"/>
              <w:rPr>
                <w:rFonts w:hint="eastAsia" w:ascii="Times New Roman" w:hAnsi="Times New Roman" w:eastAsia="仿宋" w:cstheme="minorBidi"/>
                <w:kern w:val="2"/>
                <w:sz w:val="24"/>
                <w:szCs w:val="24"/>
                <w:highlight w:val="none"/>
                <w:lang w:val="en-US" w:eastAsia="zh-CN" w:bidi="ar-SA"/>
              </w:rPr>
            </w:pPr>
            <w:r>
              <w:rPr>
                <w:rFonts w:hint="eastAsia"/>
                <w:color w:val="auto"/>
                <w:highlight w:val="none"/>
                <w:lang w:val="en-US" w:eastAsia="zh-CN"/>
              </w:rPr>
              <w:t>98%</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default" w:eastAsia="仿宋"/>
                <w:highlight w:val="none"/>
                <w:lang w:val="en-US" w:eastAsia="zh-CN"/>
              </w:rPr>
            </w:pPr>
            <w:r>
              <w:rPr>
                <w:rFonts w:hint="eastAsia"/>
                <w:highlight w:val="none"/>
                <w:lang w:val="en-US" w:eastAsia="zh-CN"/>
              </w:rPr>
              <w:t>10</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ind w:firstLine="0" w:firstLineChars="0"/>
              <w:rPr>
                <w:rFonts w:hint="default" w:eastAsia="仿宋"/>
                <w:highlight w:val="none"/>
                <w:lang w:val="en-US" w:eastAsia="zh-CN"/>
              </w:rPr>
            </w:pPr>
            <w:r>
              <w:rPr>
                <w:rFonts w:hint="eastAsia"/>
                <w:highlight w:val="none"/>
                <w:lang w:val="en-US" w:eastAsia="zh-CN"/>
              </w:rPr>
              <w:t>10</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r>
        <w:tblPrEx>
          <w:tblCellMar>
            <w:top w:w="0" w:type="dxa"/>
            <w:left w:w="108" w:type="dxa"/>
            <w:bottom w:w="0" w:type="dxa"/>
            <w:right w:w="108" w:type="dxa"/>
          </w:tblCellMar>
        </w:tblPrEx>
        <w:trPr>
          <w:trHeight w:val="567" w:hRule="atLeast"/>
          <w:jc w:val="center"/>
        </w:trPr>
        <w:tc>
          <w:tcPr>
            <w:tcW w:w="508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eastAsia" w:eastAsia="仿宋"/>
                <w:highlight w:val="none"/>
                <w:lang w:val="en-US" w:eastAsia="zh-CN"/>
              </w:rPr>
            </w:pPr>
            <w:r>
              <w:rPr>
                <w:rFonts w:hint="eastAsia"/>
                <w:highlight w:val="none"/>
                <w:lang w:val="en-US" w:eastAsia="zh-CN"/>
              </w:rPr>
              <w:t>合计</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bidi w:val="0"/>
              <w:rPr>
                <w:rFonts w:hint="eastAsia"/>
                <w:highlight w:val="none"/>
                <w:lang w:val="en-US" w:eastAsia="zh-CN"/>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bidi w:val="0"/>
              <w:ind w:firstLine="0" w:firstLineChars="0"/>
              <w:rPr>
                <w:rFonts w:hint="eastAsia" w:ascii="Times New Roman" w:hAnsi="Times New Roman" w:eastAsia="仿宋" w:cstheme="minorBidi"/>
                <w:kern w:val="2"/>
                <w:sz w:val="24"/>
                <w:szCs w:val="24"/>
                <w:highlight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6"/>
              <w:bidi w:val="0"/>
              <w:rPr>
                <w:rFonts w:hint="default"/>
                <w:highlight w:val="none"/>
                <w:lang w:val="en-US" w:eastAsia="zh-CN"/>
              </w:rPr>
            </w:pPr>
            <w:r>
              <w:rPr>
                <w:rFonts w:hint="eastAsia"/>
                <w:highlight w:val="none"/>
                <w:lang w:val="en-US" w:eastAsia="zh-CN"/>
              </w:rPr>
              <w:t>98%</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default"/>
                <w:highlight w:val="none"/>
                <w:lang w:val="en-US" w:eastAsia="zh-CN"/>
              </w:rPr>
            </w:pPr>
            <w:r>
              <w:rPr>
                <w:rFonts w:hint="eastAsia"/>
                <w:highlight w:val="none"/>
                <w:lang w:val="en-US" w:eastAsia="zh-CN"/>
              </w:rPr>
              <w:t>100</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rFonts w:hint="default" w:eastAsia="仿宋"/>
                <w:highlight w:val="none"/>
                <w:lang w:val="en-US" w:eastAsia="zh-CN"/>
              </w:rPr>
            </w:pPr>
            <w:r>
              <w:rPr>
                <w:rFonts w:hint="eastAsia"/>
                <w:highlight w:val="none"/>
                <w:lang w:val="en-US" w:eastAsia="zh-CN"/>
              </w:rPr>
              <w:t>98</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bidi w:val="0"/>
              <w:rPr>
                <w:highlight w:val="none"/>
              </w:rPr>
            </w:pPr>
          </w:p>
        </w:tc>
      </w:tr>
    </w:tbl>
    <w:p>
      <w:pPr>
        <w:pStyle w:val="20"/>
        <w:bidi w:val="0"/>
        <w:rPr>
          <w:rFonts w:hint="eastAsia"/>
        </w:rPr>
      </w:pPr>
      <w:r>
        <w:rPr>
          <w:rFonts w:hint="eastAsia"/>
        </w:rPr>
        <w:t>注：1.自评采取打分评价的形式，满分为100分，各部门（单位）可根据指标的重要程度自主确定各项三级指标的权重分值，各项指标得分加总得出该项目绩效自评的总分.原则上一级指标分值统一设a为：投入管理指标30分、产出指标25分、效益指标35分、预算执行率10分.</w:t>
      </w:r>
    </w:p>
    <w:p>
      <w:pPr>
        <w:pStyle w:val="20"/>
        <w:bidi w:val="0"/>
        <w:rPr>
          <w:rFonts w:hint="eastAsia"/>
        </w:rPr>
      </w:pPr>
      <w:r>
        <w:rPr>
          <w:rFonts w:hint="eastAsia"/>
        </w:rPr>
        <w:t>2.未完成原因分析及改进措施：说明偏离目标、不能完成目标的原因及改进措施.</w:t>
      </w:r>
    </w:p>
    <w:p>
      <w:pPr>
        <w:pStyle w:val="20"/>
        <w:bidi w:val="0"/>
      </w:pPr>
      <w:r>
        <w:rPr>
          <w:rFonts w:hint="eastAsia"/>
        </w:rPr>
        <w:t>3.定性指标根据指标完成情况分为达成预期指标、部分达成预期指标并具有一定效果、未达成 预期指标且效果较差三档，分别按照该指标对应分值区间100%-80% (含)、80%-60% (含）、60%-0%合理确定分值.定量指标完成指标值的，记该指标所赋全部分值，未完成的，按照完成值与指标值的比例计分</w:t>
      </w:r>
    </w:p>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436">
      <wne:acd wne:acdName="acd0"/>
    </wne:keymap>
    <wne:keymap wne:kcmPrimary="0432">
      <wne:acd wne:acdName="acd1"/>
    </wne:keymap>
    <wne:keymap wne:kcmPrimary="0433">
      <wne:acd wne:acdName="acd2"/>
    </wne:keymap>
    <wne:keymap wne:kcmPrimary="0435">
      <wne:acd wne:acdName="acd3"/>
    </wne:keymap>
  </wne:keymaps>
  <wne:acds>
    <wne:acd wne:argValue="AgAtZkNRY2uHZQ==" wne:acdName="acd0" wne:fciIndexBasedOn="0065"/>
    <wne:acd wne:argValue="AQAAAAIA" wne:acdName="acd1" wne:fciIndexBasedOn="0065"/>
    <wne:acd wne:argValue="AQAAAAMA" wne:acdName="acd2" wne:fciIndexBasedOn="0065"/>
    <wne:acd wne:argValue="AgBoiDxo" wne:acdName="acd3"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bidi w:val="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bidi w:val="0"/>
    </w:pPr>
    <w:r>
      <w:rPr>
        <w:sz w:val="32"/>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I</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I</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3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zOTdhZGU0ZjA2NmFkYzhlMGFjZTA1YzM1YWEzY2UifQ=="/>
  </w:docVars>
  <w:rsids>
    <w:rsidRoot w:val="00172A27"/>
    <w:rsid w:val="00172A27"/>
    <w:rsid w:val="0055721E"/>
    <w:rsid w:val="005C2600"/>
    <w:rsid w:val="00606ACD"/>
    <w:rsid w:val="006225BA"/>
    <w:rsid w:val="00870BA1"/>
    <w:rsid w:val="00894645"/>
    <w:rsid w:val="00BB275D"/>
    <w:rsid w:val="00C376D1"/>
    <w:rsid w:val="00C843BC"/>
    <w:rsid w:val="00D403CC"/>
    <w:rsid w:val="022D2CB9"/>
    <w:rsid w:val="0232724F"/>
    <w:rsid w:val="03687896"/>
    <w:rsid w:val="03CF39B3"/>
    <w:rsid w:val="03E3527A"/>
    <w:rsid w:val="04770117"/>
    <w:rsid w:val="04F35A41"/>
    <w:rsid w:val="05310285"/>
    <w:rsid w:val="06022C39"/>
    <w:rsid w:val="0612781D"/>
    <w:rsid w:val="067D4911"/>
    <w:rsid w:val="06CD2CAD"/>
    <w:rsid w:val="06D44DB6"/>
    <w:rsid w:val="073C001E"/>
    <w:rsid w:val="073C7E19"/>
    <w:rsid w:val="07BB51B4"/>
    <w:rsid w:val="07EC720E"/>
    <w:rsid w:val="08976DB6"/>
    <w:rsid w:val="09517008"/>
    <w:rsid w:val="09FC6C3A"/>
    <w:rsid w:val="0BA212E3"/>
    <w:rsid w:val="0BC67F78"/>
    <w:rsid w:val="0C2B3B54"/>
    <w:rsid w:val="0CAE231F"/>
    <w:rsid w:val="0D08223B"/>
    <w:rsid w:val="0DAC117D"/>
    <w:rsid w:val="0DC63D28"/>
    <w:rsid w:val="0EF760A8"/>
    <w:rsid w:val="0F0A5349"/>
    <w:rsid w:val="101957F6"/>
    <w:rsid w:val="10403E70"/>
    <w:rsid w:val="10EC315B"/>
    <w:rsid w:val="11D94FBF"/>
    <w:rsid w:val="11DF7AA5"/>
    <w:rsid w:val="121E4775"/>
    <w:rsid w:val="12DE5A76"/>
    <w:rsid w:val="13C60661"/>
    <w:rsid w:val="143049A4"/>
    <w:rsid w:val="15483D18"/>
    <w:rsid w:val="15600095"/>
    <w:rsid w:val="15BD3FB0"/>
    <w:rsid w:val="15C00483"/>
    <w:rsid w:val="15D958C0"/>
    <w:rsid w:val="16A86570"/>
    <w:rsid w:val="17AF67A6"/>
    <w:rsid w:val="18074165"/>
    <w:rsid w:val="18266CA5"/>
    <w:rsid w:val="186944EF"/>
    <w:rsid w:val="189517F8"/>
    <w:rsid w:val="18A74F75"/>
    <w:rsid w:val="196138D2"/>
    <w:rsid w:val="19953697"/>
    <w:rsid w:val="19DD5DE3"/>
    <w:rsid w:val="1B7911A5"/>
    <w:rsid w:val="1B7F3CD0"/>
    <w:rsid w:val="1B8B0E1E"/>
    <w:rsid w:val="1BFD0F60"/>
    <w:rsid w:val="1C4D0C19"/>
    <w:rsid w:val="1CAE1F16"/>
    <w:rsid w:val="1CDB049A"/>
    <w:rsid w:val="1D47313A"/>
    <w:rsid w:val="1E7C7AF5"/>
    <w:rsid w:val="1EF72516"/>
    <w:rsid w:val="1F6E60BF"/>
    <w:rsid w:val="1FFB2D1C"/>
    <w:rsid w:val="212C46B1"/>
    <w:rsid w:val="21AE2E31"/>
    <w:rsid w:val="21DC4500"/>
    <w:rsid w:val="21ED3453"/>
    <w:rsid w:val="22715B15"/>
    <w:rsid w:val="22E75CB2"/>
    <w:rsid w:val="23AC70BE"/>
    <w:rsid w:val="253133AF"/>
    <w:rsid w:val="25795502"/>
    <w:rsid w:val="274970C1"/>
    <w:rsid w:val="28382B82"/>
    <w:rsid w:val="288C42DB"/>
    <w:rsid w:val="289A40F9"/>
    <w:rsid w:val="296C38D6"/>
    <w:rsid w:val="2B147896"/>
    <w:rsid w:val="2B25139B"/>
    <w:rsid w:val="2CF66F3B"/>
    <w:rsid w:val="2E3B1D53"/>
    <w:rsid w:val="2FE87747"/>
    <w:rsid w:val="3088385B"/>
    <w:rsid w:val="30B9326C"/>
    <w:rsid w:val="3184492D"/>
    <w:rsid w:val="3229411A"/>
    <w:rsid w:val="335509C7"/>
    <w:rsid w:val="3384464E"/>
    <w:rsid w:val="352A0F17"/>
    <w:rsid w:val="35323F4D"/>
    <w:rsid w:val="362F5208"/>
    <w:rsid w:val="364D7507"/>
    <w:rsid w:val="36853699"/>
    <w:rsid w:val="373077D8"/>
    <w:rsid w:val="37C379D9"/>
    <w:rsid w:val="383E476D"/>
    <w:rsid w:val="3902565F"/>
    <w:rsid w:val="39504F05"/>
    <w:rsid w:val="39694146"/>
    <w:rsid w:val="3AF06D42"/>
    <w:rsid w:val="3B01341F"/>
    <w:rsid w:val="3B8E0BEC"/>
    <w:rsid w:val="3BE14FF7"/>
    <w:rsid w:val="3C1259C9"/>
    <w:rsid w:val="3D162FD9"/>
    <w:rsid w:val="3D606B02"/>
    <w:rsid w:val="3DB053D5"/>
    <w:rsid w:val="3DBB4886"/>
    <w:rsid w:val="3DEA26E4"/>
    <w:rsid w:val="3E823CC7"/>
    <w:rsid w:val="3E873D85"/>
    <w:rsid w:val="3EE01EF4"/>
    <w:rsid w:val="3FA54A93"/>
    <w:rsid w:val="404D4025"/>
    <w:rsid w:val="40580367"/>
    <w:rsid w:val="41BA54AD"/>
    <w:rsid w:val="41DA5F81"/>
    <w:rsid w:val="42363025"/>
    <w:rsid w:val="426274DE"/>
    <w:rsid w:val="428271C8"/>
    <w:rsid w:val="439315CA"/>
    <w:rsid w:val="43EF7CB6"/>
    <w:rsid w:val="44141E00"/>
    <w:rsid w:val="449152D5"/>
    <w:rsid w:val="45301858"/>
    <w:rsid w:val="45BC5666"/>
    <w:rsid w:val="45DB5816"/>
    <w:rsid w:val="467F19D6"/>
    <w:rsid w:val="47237B65"/>
    <w:rsid w:val="47AC6349"/>
    <w:rsid w:val="47B41DDF"/>
    <w:rsid w:val="48316427"/>
    <w:rsid w:val="483A53BF"/>
    <w:rsid w:val="492B5C25"/>
    <w:rsid w:val="4A257AB1"/>
    <w:rsid w:val="4A5C7F26"/>
    <w:rsid w:val="4AD31D75"/>
    <w:rsid w:val="4AFF07C1"/>
    <w:rsid w:val="4BFE14BA"/>
    <w:rsid w:val="4C56272E"/>
    <w:rsid w:val="4C932469"/>
    <w:rsid w:val="4D656886"/>
    <w:rsid w:val="4DFD218D"/>
    <w:rsid w:val="512F199A"/>
    <w:rsid w:val="521774C0"/>
    <w:rsid w:val="523F7E77"/>
    <w:rsid w:val="54087C43"/>
    <w:rsid w:val="54151AB3"/>
    <w:rsid w:val="547C2982"/>
    <w:rsid w:val="553D7376"/>
    <w:rsid w:val="570730E6"/>
    <w:rsid w:val="57321E73"/>
    <w:rsid w:val="573D02BD"/>
    <w:rsid w:val="57D22477"/>
    <w:rsid w:val="58270281"/>
    <w:rsid w:val="58836238"/>
    <w:rsid w:val="589C20F9"/>
    <w:rsid w:val="58C3256A"/>
    <w:rsid w:val="58C80F7B"/>
    <w:rsid w:val="59472F54"/>
    <w:rsid w:val="59964EC4"/>
    <w:rsid w:val="5A9D143D"/>
    <w:rsid w:val="5AAB12CD"/>
    <w:rsid w:val="5C5736B9"/>
    <w:rsid w:val="5C9E6E6F"/>
    <w:rsid w:val="5D960F43"/>
    <w:rsid w:val="5E370097"/>
    <w:rsid w:val="5EF73BE2"/>
    <w:rsid w:val="608A1152"/>
    <w:rsid w:val="609D521D"/>
    <w:rsid w:val="61382481"/>
    <w:rsid w:val="61BF196A"/>
    <w:rsid w:val="61F11689"/>
    <w:rsid w:val="62600656"/>
    <w:rsid w:val="62A44963"/>
    <w:rsid w:val="62EA2C49"/>
    <w:rsid w:val="631E05FA"/>
    <w:rsid w:val="63436BA2"/>
    <w:rsid w:val="65490021"/>
    <w:rsid w:val="65900A51"/>
    <w:rsid w:val="65FC37D4"/>
    <w:rsid w:val="665935D9"/>
    <w:rsid w:val="666B31C9"/>
    <w:rsid w:val="677A24B6"/>
    <w:rsid w:val="67A772C2"/>
    <w:rsid w:val="67DB46A3"/>
    <w:rsid w:val="68503E83"/>
    <w:rsid w:val="68781637"/>
    <w:rsid w:val="687A78F9"/>
    <w:rsid w:val="69124FDF"/>
    <w:rsid w:val="693448CF"/>
    <w:rsid w:val="6A043746"/>
    <w:rsid w:val="6A875334"/>
    <w:rsid w:val="6A884503"/>
    <w:rsid w:val="6AC5360B"/>
    <w:rsid w:val="6ADF0274"/>
    <w:rsid w:val="6AFC6911"/>
    <w:rsid w:val="6B1B61E1"/>
    <w:rsid w:val="6BC85164"/>
    <w:rsid w:val="6BFB6BCB"/>
    <w:rsid w:val="6E0B664E"/>
    <w:rsid w:val="6F46035D"/>
    <w:rsid w:val="6F472C16"/>
    <w:rsid w:val="715E4BDF"/>
    <w:rsid w:val="718805D0"/>
    <w:rsid w:val="719529E0"/>
    <w:rsid w:val="72CC0D0F"/>
    <w:rsid w:val="73C72D5A"/>
    <w:rsid w:val="748701B2"/>
    <w:rsid w:val="74ED7A64"/>
    <w:rsid w:val="74F22980"/>
    <w:rsid w:val="754822C9"/>
    <w:rsid w:val="760D385C"/>
    <w:rsid w:val="773D4564"/>
    <w:rsid w:val="77C57565"/>
    <w:rsid w:val="78022096"/>
    <w:rsid w:val="7811649A"/>
    <w:rsid w:val="78197969"/>
    <w:rsid w:val="78B6314A"/>
    <w:rsid w:val="79E41632"/>
    <w:rsid w:val="7A620D4B"/>
    <w:rsid w:val="7AA11E6E"/>
    <w:rsid w:val="7B56706E"/>
    <w:rsid w:val="7B733601"/>
    <w:rsid w:val="7C9E683A"/>
    <w:rsid w:val="7D2726CD"/>
    <w:rsid w:val="7D347EF8"/>
    <w:rsid w:val="7EBE117D"/>
    <w:rsid w:val="7EC22AF7"/>
    <w:rsid w:val="7FED2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961" w:firstLineChars="200"/>
      <w:jc w:val="both"/>
    </w:pPr>
    <w:rPr>
      <w:rFonts w:ascii="Times New Roman" w:hAnsi="Times New Roman" w:eastAsia="仿宋" w:cstheme="minorBidi"/>
      <w:kern w:val="2"/>
      <w:sz w:val="32"/>
      <w:szCs w:val="24"/>
      <w:lang w:val="en-US" w:eastAsia="zh-CN" w:bidi="ar-SA"/>
    </w:rPr>
  </w:style>
  <w:style w:type="paragraph" w:styleId="2">
    <w:name w:val="heading 1"/>
    <w:basedOn w:val="1"/>
    <w:next w:val="1"/>
    <w:qFormat/>
    <w:uiPriority w:val="0"/>
    <w:pPr>
      <w:keepNext/>
      <w:keepLines/>
      <w:adjustRightInd w:val="0"/>
      <w:snapToGrid w:val="0"/>
      <w:spacing w:line="560" w:lineRule="exact"/>
      <w:ind w:firstLine="0" w:firstLineChars="0"/>
      <w:jc w:val="left"/>
      <w:outlineLvl w:val="0"/>
    </w:pPr>
    <w:rPr>
      <w:rFonts w:ascii="黑体" w:hAnsi="黑体" w:eastAsia="黑体"/>
      <w:b/>
      <w:bCs/>
      <w:kern w:val="44"/>
      <w:szCs w:val="32"/>
    </w:rPr>
  </w:style>
  <w:style w:type="paragraph" w:styleId="3">
    <w:name w:val="heading 2"/>
    <w:basedOn w:val="1"/>
    <w:next w:val="1"/>
    <w:link w:val="18"/>
    <w:unhideWhenUsed/>
    <w:qFormat/>
    <w:uiPriority w:val="0"/>
    <w:pPr>
      <w:keepNext/>
      <w:keepLines/>
      <w:adjustRightInd w:val="0"/>
      <w:snapToGrid w:val="0"/>
      <w:spacing w:line="560" w:lineRule="exact"/>
      <w:ind w:firstLine="0" w:firstLineChars="0"/>
      <w:outlineLvl w:val="1"/>
    </w:pPr>
    <w:rPr>
      <w:rFonts w:ascii="楷体" w:hAnsi="楷体" w:eastAsia="楷体" w:cs="Times New Roman"/>
      <w:b/>
      <w:bCs/>
      <w:szCs w:val="32"/>
    </w:rPr>
  </w:style>
  <w:style w:type="paragraph" w:styleId="4">
    <w:name w:val="heading 3"/>
    <w:basedOn w:val="1"/>
    <w:next w:val="1"/>
    <w:unhideWhenUsed/>
    <w:qFormat/>
    <w:uiPriority w:val="0"/>
    <w:pPr>
      <w:keepNext/>
      <w:keepLines/>
      <w:adjustRightInd w:val="0"/>
      <w:snapToGrid w:val="0"/>
      <w:spacing w:line="560" w:lineRule="exact"/>
      <w:ind w:firstLine="560" w:firstLineChars="200"/>
      <w:outlineLvl w:val="2"/>
    </w:pPr>
    <w:rPr>
      <w:rFonts w:ascii="仿宋" w:hAnsi="仿宋" w:cs="Times New Roman"/>
      <w:b/>
      <w:bCs/>
      <w:sz w:val="32"/>
      <w:szCs w:val="32"/>
    </w:rPr>
  </w:style>
  <w:style w:type="paragraph" w:styleId="5">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next w:val="1"/>
    <w:qFormat/>
    <w:uiPriority w:val="0"/>
    <w:pPr>
      <w:spacing w:after="120" w:afterLines="0" w:afterAutospacing="0"/>
    </w:pPr>
  </w:style>
  <w:style w:type="paragraph" w:styleId="8">
    <w:name w:val="footer"/>
    <w:basedOn w:val="1"/>
    <w:qFormat/>
    <w:uiPriority w:val="0"/>
    <w:pPr>
      <w:tabs>
        <w:tab w:val="center" w:pos="4153"/>
        <w:tab w:val="right" w:pos="8306"/>
      </w:tabs>
      <w:adjustRightInd w:val="0"/>
      <w:snapToGrid w:val="0"/>
      <w:spacing w:line="240" w:lineRule="auto"/>
      <w:ind w:firstLine="0" w:firstLineChars="0"/>
      <w:jc w:val="left"/>
    </w:pPr>
    <w:rPr>
      <w:sz w:val="24"/>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pPr>
      <w:adjustRightInd w:val="0"/>
      <w:snapToGrid w:val="0"/>
      <w:ind w:firstLine="0" w:firstLineChars="0"/>
    </w:pPr>
  </w:style>
  <w:style w:type="paragraph" w:styleId="11">
    <w:name w:val="toc 2"/>
    <w:basedOn w:val="1"/>
    <w:next w:val="1"/>
    <w:qFormat/>
    <w:uiPriority w:val="0"/>
    <w:pPr>
      <w:ind w:left="420" w:leftChars="200" w:firstLine="0" w:firstLineChars="0"/>
    </w:pPr>
  </w:style>
  <w:style w:type="paragraph" w:styleId="12">
    <w:name w:val="Body Text First Indent"/>
    <w:basedOn w:val="7"/>
    <w:qFormat/>
    <w:uiPriority w:val="0"/>
    <w:pPr>
      <w:ind w:firstLineChars="100"/>
    </w:pPr>
  </w:style>
  <w:style w:type="table" w:styleId="14">
    <w:name w:val="Table Grid"/>
    <w:basedOn w:val="1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表格"/>
    <w:basedOn w:val="1"/>
    <w:qFormat/>
    <w:uiPriority w:val="0"/>
    <w:pPr>
      <w:adjustRightInd w:val="0"/>
      <w:snapToGrid w:val="0"/>
      <w:spacing w:line="240" w:lineRule="auto"/>
      <w:ind w:firstLine="0" w:firstLineChars="0"/>
      <w:jc w:val="center"/>
    </w:pPr>
    <w:rPr>
      <w:sz w:val="24"/>
    </w:rPr>
  </w:style>
  <w:style w:type="paragraph" w:customStyle="1" w:styleId="17">
    <w:name w:val="表头"/>
    <w:basedOn w:val="1"/>
    <w:next w:val="1"/>
    <w:qFormat/>
    <w:uiPriority w:val="0"/>
    <w:pPr>
      <w:ind w:firstLine="0" w:firstLineChars="0"/>
      <w:jc w:val="center"/>
    </w:pPr>
  </w:style>
  <w:style w:type="character" w:customStyle="1" w:styleId="18">
    <w:name w:val="标题 2 字符"/>
    <w:link w:val="3"/>
    <w:qFormat/>
    <w:uiPriority w:val="9"/>
    <w:rPr>
      <w:rFonts w:ascii="楷体" w:hAnsi="楷体" w:eastAsia="楷体" w:cs="Times New Roman"/>
      <w:b/>
      <w:bCs/>
      <w:sz w:val="32"/>
      <w:szCs w:val="32"/>
    </w:rPr>
  </w:style>
  <w:style w:type="paragraph" w:customStyle="1" w:styleId="19">
    <w:name w:val="Revision"/>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0">
    <w:name w:val="昭元正文"/>
    <w:basedOn w:val="1"/>
    <w:qFormat/>
    <w:uiPriority w:val="0"/>
    <w:pPr>
      <w:adjustRightInd w:val="0"/>
      <w:snapToGrid w:val="0"/>
      <w:ind w:firstLine="964" w:firstLineChars="200"/>
      <w:jc w:val="left"/>
    </w:pPr>
    <w:rPr>
      <w:rFonts w:hint="eastAsia" w:ascii="宋体" w:hAnsi="宋体" w:eastAsia="仿宋" w:cs="Times New Roman"/>
      <w:color w:val="auto"/>
      <w:sz w:val="32"/>
      <w:szCs w:val="32"/>
    </w:rPr>
  </w:style>
  <w:style w:type="paragraph" w:customStyle="1" w:styleId="21">
    <w:name w:val="模板由"/>
    <w:basedOn w:val="1"/>
    <w:qFormat/>
    <w:uiPriority w:val="0"/>
    <w:pPr>
      <w:adjustRightInd w:val="0"/>
      <w:snapToGrid w:val="0"/>
      <w:ind w:firstLine="964"/>
      <w:jc w:val="left"/>
    </w:pPr>
    <w:rPr>
      <w:rFonts w:hint="eastAsia" w:ascii="宋体" w:hAnsi="宋体" w:cs="Times New Roman"/>
      <w:color w:val="auto"/>
      <w:szCs w:val="32"/>
    </w:rPr>
  </w:style>
  <w:style w:type="paragraph" w:customStyle="1" w:styleId="22">
    <w:name w:val="昭元绩效"/>
    <w:basedOn w:val="1"/>
    <w:qFormat/>
    <w:uiPriority w:val="0"/>
    <w:pPr>
      <w:adjustRightInd w:val="0"/>
      <w:snapToGrid w:val="0"/>
      <w:ind w:firstLine="964"/>
      <w:jc w:val="left"/>
    </w:pPr>
    <w:rPr>
      <w:rFonts w:hint="eastAsia" w:ascii="宋体" w:hAnsi="宋体" w:cs="Times New Roman"/>
      <w:color w:val="auto"/>
      <w:szCs w:val="32"/>
    </w:rPr>
  </w:style>
  <w:style w:type="paragraph" w:customStyle="1" w:styleId="23">
    <w:name w:val="提供"/>
    <w:basedOn w:val="1"/>
    <w:qFormat/>
    <w:uiPriority w:val="0"/>
    <w:pPr>
      <w:adjustRightInd w:val="0"/>
      <w:snapToGrid w:val="0"/>
      <w:ind w:firstLine="964"/>
      <w:jc w:val="left"/>
    </w:pPr>
    <w:rPr>
      <w:rFonts w:hint="eastAsia" w:ascii="宋体" w:hAnsi="宋体" w:cs="Times New Roman"/>
      <w:color w:val="auto"/>
      <w:szCs w:val="32"/>
    </w:rPr>
  </w:style>
  <w:style w:type="paragraph" w:customStyle="1" w:styleId="24">
    <w:name w:val="版权所有"/>
    <w:basedOn w:val="1"/>
    <w:qFormat/>
    <w:uiPriority w:val="0"/>
    <w:pPr>
      <w:adjustRightInd w:val="0"/>
      <w:snapToGrid w:val="0"/>
      <w:ind w:firstLine="964"/>
      <w:jc w:val="left"/>
    </w:pPr>
    <w:rPr>
      <w:rFonts w:hint="eastAsia" w:ascii="宋体" w:hAnsi="宋体" w:cs="Times New Roman"/>
      <w:color w:val="auto"/>
      <w:szCs w:val="32"/>
    </w:rPr>
  </w:style>
  <w:style w:type="paragraph" w:customStyle="1" w:styleId="25">
    <w:name w:val="15515993457"/>
    <w:basedOn w:val="1"/>
    <w:qFormat/>
    <w:uiPriority w:val="0"/>
    <w:pPr>
      <w:adjustRightInd w:val="0"/>
      <w:snapToGrid w:val="0"/>
      <w:ind w:firstLine="964"/>
      <w:jc w:val="left"/>
    </w:pPr>
    <w:rPr>
      <w:rFonts w:hint="eastAsia" w:ascii="宋体" w:hAnsi="宋体" w:cs="Times New Roman"/>
      <w:color w:val="auto"/>
      <w:szCs w:val="32"/>
    </w:rPr>
  </w:style>
</w:style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31</Pages>
  <Words>11555</Words>
  <Characters>12751</Characters>
  <Lines>152</Lines>
  <Paragraphs>43</Paragraphs>
  <TotalTime>1</TotalTime>
  <ScaleCrop>false</ScaleCrop>
  <LinksUpToDate>false</LinksUpToDate>
  <CharactersWithSpaces>12797</CharactersWithSpaces>
  <Application>WPS Office_11.1.0.11805_F1E327BC-269C-435d-A152-05C5408002CA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2021-05-19T12:19:00Z</dcterms:created>
  <dc:creator>Administrator</dc:creator>
  <cp:lastModifiedBy>Administrator</cp:lastModifiedBy>
  <dcterms:modified xsi:type="dcterms:W3CDTF">2022-06-07T03:20:36Z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2052-11.1.0.11805</vt:lpwstr>
  </property>
  <property fmtid="{D5CDD505-2E9C-101B-9397-08002B2CF9AE}" pid="3" name="ICV">
    <vt:lpwstr>2110D672D04E41289C27CBC3ED0A3E97</vt:lpwstr>
  </property>
</Properties>
</file>