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pPr>
      <w:bookmarkStart w:id="0" w:name="_Toc11908"/>
    </w:p>
    <w:p>
      <w:pPr>
        <w:ind w:firstLine="0" w:firstLineChars="0"/>
        <w:jc w:val="center"/>
        <w:rPr>
          <w:rFonts w:ascii="宋体" w:hAnsi="宋体" w:eastAsia="宋体"/>
          <w:b/>
          <w:sz w:val="52"/>
          <w:szCs w:val="52"/>
        </w:rPr>
      </w:pPr>
    </w:p>
    <w:p>
      <w:pPr>
        <w:pStyle w:val="26"/>
        <w:rPr>
          <w:rFonts w:hint="eastAsia" w:ascii="宋体" w:hAnsi="宋体" w:cs="宋体"/>
          <w:sz w:val="52"/>
          <w:szCs w:val="52"/>
        </w:rPr>
      </w:pPr>
      <w:r>
        <w:rPr>
          <w:rFonts w:hint="eastAsia" w:ascii="宋体" w:hAnsi="宋体" w:cs="宋体"/>
          <w:sz w:val="52"/>
          <w:szCs w:val="52"/>
        </w:rPr>
        <w:t>民主党派（含民进支部）活动经费</w:t>
      </w:r>
    </w:p>
    <w:p>
      <w:pPr>
        <w:pStyle w:val="26"/>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8"/>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highlight w:val="yellow"/>
        </w:rPr>
      </w:pPr>
      <w:r>
        <w:rPr>
          <w:rFonts w:hint="eastAsia" w:ascii="宋体" w:hAnsi="宋体" w:eastAsia="宋体"/>
          <w:b/>
          <w:highlight w:val="none"/>
        </w:rPr>
        <w:t>自评单位：</w:t>
      </w:r>
      <w:r>
        <w:rPr>
          <w:rFonts w:hint="eastAsia" w:ascii="黑体" w:hAnsi="黑体" w:eastAsia="黑体" w:cs="黑体"/>
          <w:highlight w:val="none"/>
          <w:lang w:eastAsia="zh-CN"/>
        </w:rPr>
        <w:t>中共三门峡市委统一战线工作部</w:t>
      </w:r>
    </w:p>
    <w:p>
      <w:pPr>
        <w:ind w:firstLine="0" w:firstLineChars="0"/>
        <w:jc w:val="center"/>
        <w:rPr>
          <w:rFonts w:ascii="宋体" w:hAnsi="宋体" w:eastAsia="宋体"/>
          <w:b/>
          <w:highlight w:val="none"/>
        </w:rPr>
      </w:pPr>
      <w:r>
        <w:rPr>
          <w:rFonts w:hint="eastAsia" w:ascii="宋体" w:hAnsi="宋体" w:eastAsia="宋体"/>
          <w:b/>
          <w:highlight w:val="none"/>
        </w:rPr>
        <w:t>日</w:t>
      </w:r>
      <w:r>
        <w:rPr>
          <w:rFonts w:ascii="宋体" w:hAnsi="宋体" w:eastAsia="宋体"/>
          <w:b/>
          <w:highlight w:val="none"/>
        </w:rPr>
        <w:t xml:space="preserve">    </w:t>
      </w:r>
      <w:r>
        <w:rPr>
          <w:rFonts w:hint="eastAsia" w:ascii="宋体" w:hAnsi="宋体" w:eastAsia="宋体"/>
          <w:b/>
          <w:highlight w:val="none"/>
        </w:rPr>
        <w:t>期：</w:t>
      </w:r>
      <w:r>
        <w:rPr>
          <w:rFonts w:hint="eastAsia" w:ascii="宋体" w:hAnsi="宋体" w:eastAsia="宋体"/>
          <w:b/>
          <w:highlight w:val="none"/>
          <w:lang w:val="en-US" w:eastAsia="zh-CN"/>
        </w:rPr>
        <w:t>2022</w:t>
      </w:r>
      <w:r>
        <w:rPr>
          <w:rFonts w:hint="eastAsia" w:ascii="宋体" w:hAnsi="宋体" w:eastAsia="宋体"/>
          <w:b/>
          <w:highlight w:val="none"/>
        </w:rPr>
        <w:t>年</w:t>
      </w:r>
      <w:r>
        <w:rPr>
          <w:rFonts w:hint="eastAsia" w:ascii="宋体" w:hAnsi="宋体" w:eastAsia="宋体"/>
          <w:b/>
          <w:highlight w:val="none"/>
          <w:lang w:val="en-US" w:eastAsia="zh-CN"/>
        </w:rPr>
        <w:t>5</w:t>
      </w:r>
      <w:r>
        <w:rPr>
          <w:rFonts w:hint="eastAsia" w:ascii="宋体" w:hAnsi="宋体" w:eastAsia="宋体"/>
          <w:b/>
          <w:highlight w:val="none"/>
        </w:rPr>
        <w:t>月</w:t>
      </w:r>
      <w:r>
        <w:rPr>
          <w:rFonts w:hint="eastAsia" w:ascii="宋体" w:hAnsi="宋体" w:eastAsia="宋体"/>
          <w:b/>
          <w:highlight w:val="none"/>
          <w:lang w:val="en-US" w:eastAsia="zh-CN"/>
        </w:rPr>
        <w:t>6</w:t>
      </w:r>
      <w:r>
        <w:rPr>
          <w:rFonts w:hint="eastAsia" w:ascii="宋体" w:hAnsi="宋体" w:eastAsia="宋体"/>
          <w:b/>
          <w:highlight w:val="none"/>
        </w:rPr>
        <w:t>日</w:t>
      </w:r>
    </w:p>
    <w:p>
      <w:pPr>
        <w:pStyle w:val="12"/>
        <w:rPr>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_Toc13004 </w:instrText>
      </w:r>
      <w:r>
        <w:fldChar w:fldCharType="separate"/>
      </w:r>
      <w:r>
        <w:rPr>
          <w:rFonts w:hint="eastAsia"/>
        </w:rPr>
        <w:t>一、项目基本情况</w:t>
      </w:r>
      <w:r>
        <w:tab/>
      </w:r>
      <w:r>
        <w:fldChar w:fldCharType="begin"/>
      </w:r>
      <w:r>
        <w:instrText xml:space="preserve"> PAGEREF _Toc13004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_Toc11894 </w:instrText>
      </w:r>
      <w:r>
        <w:fldChar w:fldCharType="separate"/>
      </w:r>
      <w:r>
        <w:rPr>
          <w:rFonts w:hint="eastAsia"/>
        </w:rPr>
        <w:t>（一）项目基本信息</w:t>
      </w:r>
      <w:r>
        <w:tab/>
      </w:r>
      <w:r>
        <w:fldChar w:fldCharType="begin"/>
      </w:r>
      <w:r>
        <w:instrText xml:space="preserve"> PAGEREF _Toc11894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_Toc23932 </w:instrText>
      </w:r>
      <w:r>
        <w:fldChar w:fldCharType="separate"/>
      </w:r>
      <w:r>
        <w:rPr>
          <w:rFonts w:hint="eastAsia"/>
          <w:highlight w:val="none"/>
        </w:rPr>
        <w:t>（二）项目支出情况</w:t>
      </w:r>
      <w:r>
        <w:tab/>
      </w:r>
      <w:r>
        <w:fldChar w:fldCharType="begin"/>
      </w:r>
      <w:r>
        <w:instrText xml:space="preserve"> PAGEREF _Toc23932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_Toc23308 </w:instrText>
      </w:r>
      <w:r>
        <w:fldChar w:fldCharType="separate"/>
      </w:r>
      <w:r>
        <w:rPr>
          <w:rFonts w:hint="eastAsia"/>
        </w:rPr>
        <w:t>二、绩效自评工作开展情况</w:t>
      </w:r>
      <w:r>
        <w:tab/>
      </w:r>
      <w:r>
        <w:fldChar w:fldCharType="begin"/>
      </w:r>
      <w:r>
        <w:instrText xml:space="preserve"> PAGEREF _Toc23308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_Toc12389 </w:instrText>
      </w:r>
      <w:r>
        <w:fldChar w:fldCharType="separate"/>
      </w:r>
      <w:r>
        <w:rPr>
          <w:rFonts w:hint="eastAsia"/>
        </w:rPr>
        <w:t>（一）绩效自评价目的和意义</w:t>
      </w:r>
      <w:r>
        <w:tab/>
      </w:r>
      <w:r>
        <w:fldChar w:fldCharType="begin"/>
      </w:r>
      <w:r>
        <w:instrText xml:space="preserve"> PAGEREF _Toc12389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_Toc15473 </w:instrText>
      </w:r>
      <w:r>
        <w:fldChar w:fldCharType="separate"/>
      </w:r>
      <w:r>
        <w:rPr>
          <w:rFonts w:hint="eastAsia"/>
        </w:rPr>
        <w:t>（二）绩效自评价对象和范围</w:t>
      </w:r>
      <w:r>
        <w:tab/>
      </w:r>
      <w:r>
        <w:fldChar w:fldCharType="begin"/>
      </w:r>
      <w:r>
        <w:instrText xml:space="preserve"> PAGEREF _Toc15473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_Toc20852 </w:instrText>
      </w:r>
      <w:r>
        <w:fldChar w:fldCharType="separate"/>
      </w:r>
      <w:r>
        <w:rPr>
          <w:rFonts w:hint="eastAsia"/>
        </w:rPr>
        <w:t>（三）绩效评价的依据</w:t>
      </w:r>
      <w:r>
        <w:tab/>
      </w:r>
      <w:r>
        <w:fldChar w:fldCharType="begin"/>
      </w:r>
      <w:r>
        <w:instrText xml:space="preserve"> PAGEREF _Toc20852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_Toc3753 </w:instrText>
      </w:r>
      <w:r>
        <w:fldChar w:fldCharType="separate"/>
      </w:r>
      <w:r>
        <w:rPr>
          <w:rFonts w:hint="eastAsia"/>
        </w:rPr>
        <w:t>（四）评分方法</w:t>
      </w:r>
      <w:r>
        <w:tab/>
      </w:r>
      <w:r>
        <w:fldChar w:fldCharType="begin"/>
      </w:r>
      <w:r>
        <w:instrText xml:space="preserve"> PAGEREF _Toc3753 \h </w:instrText>
      </w:r>
      <w:r>
        <w:fldChar w:fldCharType="separate"/>
      </w:r>
      <w:r>
        <w:t>3</w:t>
      </w:r>
      <w:r>
        <w:fldChar w:fldCharType="end"/>
      </w:r>
      <w:r>
        <w:fldChar w:fldCharType="end"/>
      </w:r>
    </w:p>
    <w:p>
      <w:pPr>
        <w:pStyle w:val="13"/>
        <w:tabs>
          <w:tab w:val="right" w:leader="dot" w:pos="8306"/>
        </w:tabs>
      </w:pPr>
      <w:r>
        <w:fldChar w:fldCharType="begin"/>
      </w:r>
      <w:r>
        <w:instrText xml:space="preserve"> HYPERLINK \l _Toc11072 </w:instrText>
      </w:r>
      <w:r>
        <w:fldChar w:fldCharType="separate"/>
      </w:r>
      <w:r>
        <w:rPr>
          <w:rFonts w:hint="eastAsia"/>
        </w:rPr>
        <w:t>（五）绩效自评工作组织</w:t>
      </w:r>
      <w:r>
        <w:tab/>
      </w:r>
      <w:r>
        <w:fldChar w:fldCharType="begin"/>
      </w:r>
      <w:r>
        <w:instrText xml:space="preserve"> PAGEREF _Toc11072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_Toc15878 </w:instrText>
      </w:r>
      <w:r>
        <w:fldChar w:fldCharType="separate"/>
      </w:r>
      <w:r>
        <w:rPr>
          <w:rFonts w:hint="eastAsia"/>
        </w:rPr>
        <w:t>三、绩效自评结果及分析</w:t>
      </w:r>
      <w:r>
        <w:tab/>
      </w:r>
      <w:r>
        <w:fldChar w:fldCharType="begin"/>
      </w:r>
      <w:r>
        <w:instrText xml:space="preserve"> PAGEREF _Toc15878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_Toc23688 </w:instrText>
      </w:r>
      <w:r>
        <w:fldChar w:fldCharType="separate"/>
      </w:r>
      <w:r>
        <w:t>（一）绩效自评价结果</w:t>
      </w:r>
      <w:r>
        <w:tab/>
      </w:r>
      <w:r>
        <w:fldChar w:fldCharType="begin"/>
      </w:r>
      <w:r>
        <w:instrText xml:space="preserve"> PAGEREF _Toc23688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_Toc2870 </w:instrText>
      </w:r>
      <w:r>
        <w:fldChar w:fldCharType="separate"/>
      </w:r>
      <w:r>
        <w:rPr>
          <w:rFonts w:hint="eastAsia"/>
        </w:rPr>
        <w:t>（二）自评指标分析</w:t>
      </w:r>
      <w:r>
        <w:tab/>
      </w:r>
      <w:r>
        <w:fldChar w:fldCharType="begin"/>
      </w:r>
      <w:r>
        <w:instrText xml:space="preserve"> PAGEREF _Toc2870 \h </w:instrText>
      </w:r>
      <w:r>
        <w:fldChar w:fldCharType="separate"/>
      </w:r>
      <w:r>
        <w:t>6</w:t>
      </w:r>
      <w:r>
        <w:fldChar w:fldCharType="end"/>
      </w:r>
      <w:r>
        <w:fldChar w:fldCharType="end"/>
      </w:r>
    </w:p>
    <w:p>
      <w:pPr>
        <w:pStyle w:val="12"/>
        <w:tabs>
          <w:tab w:val="right" w:leader="dot" w:pos="8306"/>
          <w:tab w:val="clear" w:pos="8296"/>
        </w:tabs>
      </w:pPr>
      <w:r>
        <w:fldChar w:fldCharType="begin"/>
      </w:r>
      <w:r>
        <w:instrText xml:space="preserve"> HYPERLINK \l _Toc29824 </w:instrText>
      </w:r>
      <w:r>
        <w:fldChar w:fldCharType="separate"/>
      </w:r>
      <w:r>
        <w:rPr>
          <w:rFonts w:hint="eastAsia"/>
          <w:highlight w:val="none"/>
        </w:rPr>
        <w:t>四、成果和问题</w:t>
      </w:r>
      <w:r>
        <w:tab/>
      </w:r>
      <w:r>
        <w:fldChar w:fldCharType="begin"/>
      </w:r>
      <w:r>
        <w:instrText xml:space="preserve"> PAGEREF _Toc29824 \h </w:instrText>
      </w:r>
      <w:r>
        <w:fldChar w:fldCharType="separate"/>
      </w:r>
      <w:r>
        <w:t>11</w:t>
      </w:r>
      <w:r>
        <w:fldChar w:fldCharType="end"/>
      </w:r>
      <w:r>
        <w:fldChar w:fldCharType="end"/>
      </w:r>
    </w:p>
    <w:p>
      <w:pPr>
        <w:pStyle w:val="13"/>
        <w:tabs>
          <w:tab w:val="right" w:leader="dot" w:pos="8306"/>
        </w:tabs>
      </w:pPr>
      <w:r>
        <w:fldChar w:fldCharType="begin"/>
      </w:r>
      <w:r>
        <w:instrText xml:space="preserve"> HYPERLINK \l _Toc23768 </w:instrText>
      </w:r>
      <w:r>
        <w:fldChar w:fldCharType="separate"/>
      </w:r>
      <w:r>
        <w:rPr>
          <w:rFonts w:hint="eastAsia"/>
          <w:highlight w:val="none"/>
        </w:rPr>
        <w:t>（一）项目实施的成果</w:t>
      </w:r>
      <w:r>
        <w:tab/>
      </w:r>
      <w:r>
        <w:fldChar w:fldCharType="begin"/>
      </w:r>
      <w:r>
        <w:instrText xml:space="preserve"> PAGEREF _Toc23768 \h </w:instrText>
      </w:r>
      <w:r>
        <w:fldChar w:fldCharType="separate"/>
      </w:r>
      <w:r>
        <w:t>11</w:t>
      </w:r>
      <w:r>
        <w:fldChar w:fldCharType="end"/>
      </w:r>
      <w:r>
        <w:fldChar w:fldCharType="end"/>
      </w:r>
    </w:p>
    <w:p>
      <w:pPr>
        <w:pStyle w:val="13"/>
        <w:tabs>
          <w:tab w:val="right" w:leader="dot" w:pos="8306"/>
        </w:tabs>
      </w:pPr>
      <w:r>
        <w:fldChar w:fldCharType="begin"/>
      </w:r>
      <w:r>
        <w:instrText xml:space="preserve"> HYPERLINK \l _Toc27293 </w:instrText>
      </w:r>
      <w:r>
        <w:fldChar w:fldCharType="separate"/>
      </w:r>
      <w:r>
        <w:rPr>
          <w:rFonts w:hint="eastAsia"/>
          <w:highlight w:val="none"/>
        </w:rPr>
        <w:t>（二）项目存在的问题</w:t>
      </w:r>
      <w:r>
        <w:tab/>
      </w:r>
      <w:r>
        <w:fldChar w:fldCharType="begin"/>
      </w:r>
      <w:r>
        <w:instrText xml:space="preserve"> PAGEREF _Toc27293 \h </w:instrText>
      </w:r>
      <w:r>
        <w:fldChar w:fldCharType="separate"/>
      </w:r>
      <w:r>
        <w:t>11</w:t>
      </w:r>
      <w:r>
        <w:fldChar w:fldCharType="end"/>
      </w:r>
      <w:r>
        <w:fldChar w:fldCharType="end"/>
      </w:r>
    </w:p>
    <w:p>
      <w:pPr>
        <w:pStyle w:val="12"/>
        <w:tabs>
          <w:tab w:val="right" w:leader="dot" w:pos="8306"/>
          <w:tab w:val="clear" w:pos="8296"/>
        </w:tabs>
      </w:pPr>
      <w:r>
        <w:fldChar w:fldCharType="begin"/>
      </w:r>
      <w:r>
        <w:instrText xml:space="preserve"> HYPERLINK \l _Toc4756 </w:instrText>
      </w:r>
      <w:r>
        <w:fldChar w:fldCharType="separate"/>
      </w:r>
      <w:r>
        <w:rPr>
          <w:rFonts w:hint="eastAsia"/>
          <w:highlight w:val="none"/>
        </w:rPr>
        <w:t>五、建议</w:t>
      </w:r>
      <w:r>
        <w:tab/>
      </w:r>
      <w:r>
        <w:fldChar w:fldCharType="begin"/>
      </w:r>
      <w:r>
        <w:instrText xml:space="preserve"> PAGEREF _Toc4756 \h </w:instrText>
      </w:r>
      <w:r>
        <w:fldChar w:fldCharType="separate"/>
      </w:r>
      <w:r>
        <w:t>11</w:t>
      </w:r>
      <w:r>
        <w:fldChar w:fldCharType="end"/>
      </w:r>
      <w:r>
        <w:fldChar w:fldCharType="end"/>
      </w:r>
    </w:p>
    <w:p>
      <w:pPr>
        <w:pStyle w:val="13"/>
        <w:tabs>
          <w:tab w:val="right" w:leader="dot" w:pos="8306"/>
        </w:tabs>
      </w:pPr>
      <w:r>
        <w:fldChar w:fldCharType="begin"/>
      </w:r>
      <w:r>
        <w:instrText xml:space="preserve"> HYPERLINK \l _Toc30154 </w:instrText>
      </w:r>
      <w:r>
        <w:fldChar w:fldCharType="separate"/>
      </w:r>
      <w:r>
        <w:rPr>
          <w:rFonts w:hint="eastAsia"/>
          <w:highlight w:val="none"/>
        </w:rPr>
        <w:t>（一）</w:t>
      </w:r>
      <w:r>
        <w:rPr>
          <w:rFonts w:hint="eastAsia"/>
          <w:highlight w:val="none"/>
          <w:lang w:val="en-US" w:eastAsia="zh-CN"/>
        </w:rPr>
        <w:t>拓宽宣传渠道，加大宣传力度</w:t>
      </w:r>
      <w:r>
        <w:tab/>
      </w:r>
      <w:r>
        <w:fldChar w:fldCharType="begin"/>
      </w:r>
      <w:r>
        <w:instrText xml:space="preserve"> PAGEREF _Toc30154 \h </w:instrText>
      </w:r>
      <w:r>
        <w:fldChar w:fldCharType="separate"/>
      </w:r>
      <w:r>
        <w:t>11</w:t>
      </w:r>
      <w:r>
        <w:fldChar w:fldCharType="end"/>
      </w:r>
      <w:r>
        <w:fldChar w:fldCharType="end"/>
      </w:r>
    </w:p>
    <w:p>
      <w:pPr>
        <w:pStyle w:val="13"/>
        <w:tabs>
          <w:tab w:val="right" w:leader="dot" w:pos="8306"/>
        </w:tabs>
      </w:pPr>
      <w:r>
        <w:fldChar w:fldCharType="begin"/>
      </w:r>
      <w:r>
        <w:instrText xml:space="preserve"> HYPERLINK \l _Toc3591 </w:instrText>
      </w:r>
      <w:r>
        <w:fldChar w:fldCharType="separate"/>
      </w:r>
      <w:r>
        <w:rPr>
          <w:rFonts w:hint="eastAsia"/>
          <w:highlight w:val="none"/>
        </w:rPr>
        <w:t>（二）加强学习培训，进一步提高绩效管理水平</w:t>
      </w:r>
      <w:r>
        <w:tab/>
      </w:r>
      <w:r>
        <w:fldChar w:fldCharType="begin"/>
      </w:r>
      <w:r>
        <w:instrText xml:space="preserve"> PAGEREF _Toc3591 \h </w:instrText>
      </w:r>
      <w:r>
        <w:fldChar w:fldCharType="separate"/>
      </w:r>
      <w:r>
        <w:t>12</w:t>
      </w:r>
      <w:r>
        <w:fldChar w:fldCharType="end"/>
      </w:r>
      <w:r>
        <w:fldChar w:fldCharType="end"/>
      </w:r>
    </w:p>
    <w:p>
      <w:pPr>
        <w:pStyle w:val="12"/>
        <w:tabs>
          <w:tab w:val="right" w:leader="dot" w:pos="8306"/>
          <w:tab w:val="clear" w:pos="8296"/>
        </w:tabs>
      </w:pPr>
      <w:r>
        <w:fldChar w:fldCharType="begin"/>
      </w:r>
      <w:r>
        <w:instrText xml:space="preserve"> HYPERLINK \l _Toc17955 </w:instrText>
      </w:r>
      <w:r>
        <w:fldChar w:fldCharType="separate"/>
      </w:r>
      <w:r>
        <w:rPr>
          <w:rFonts w:hint="eastAsia"/>
          <w:highlight w:val="none"/>
        </w:rPr>
        <w:t>六、其他需要说明的问题</w:t>
      </w:r>
      <w:r>
        <w:tab/>
      </w:r>
      <w:r>
        <w:fldChar w:fldCharType="begin"/>
      </w:r>
      <w:r>
        <w:instrText xml:space="preserve"> PAGEREF _Toc17955 \h </w:instrText>
      </w:r>
      <w:r>
        <w:fldChar w:fldCharType="separate"/>
      </w:r>
      <w:r>
        <w:t>12</w:t>
      </w:r>
      <w:r>
        <w:fldChar w:fldCharType="end"/>
      </w:r>
      <w:r>
        <w:fldChar w:fldCharType="end"/>
      </w:r>
    </w:p>
    <w:p>
      <w:pPr>
        <w:pStyle w:val="12"/>
        <w:tabs>
          <w:tab w:val="right" w:leader="dot" w:pos="8306"/>
          <w:tab w:val="clear" w:pos="8296"/>
        </w:tabs>
      </w:pPr>
      <w:r>
        <w:fldChar w:fldCharType="begin"/>
      </w:r>
      <w:r>
        <w:instrText xml:space="preserve"> HYPERLINK \l _Toc2055 </w:instrText>
      </w:r>
      <w:r>
        <w:fldChar w:fldCharType="separate"/>
      </w:r>
      <w:r>
        <w:rPr>
          <w:rFonts w:hint="eastAsia"/>
        </w:rPr>
        <w:t>七、附件</w:t>
      </w:r>
      <w:r>
        <w:tab/>
      </w:r>
      <w:r>
        <w:fldChar w:fldCharType="begin"/>
      </w:r>
      <w:r>
        <w:instrText xml:space="preserve"> PAGEREF _Toc2055 \h </w:instrText>
      </w:r>
      <w:r>
        <w:fldChar w:fldCharType="separate"/>
      </w:r>
      <w:r>
        <w:t>12</w:t>
      </w:r>
      <w:r>
        <w:fldChar w:fldCharType="end"/>
      </w:r>
      <w:r>
        <w:fldChar w:fldCharType="end"/>
      </w:r>
    </w:p>
    <w:p>
      <w:pPr>
        <w:pStyle w:val="13"/>
        <w:tabs>
          <w:tab w:val="right" w:leader="dot" w:pos="8306"/>
        </w:tabs>
      </w:pPr>
      <w:r>
        <w:fldChar w:fldCharType="begin"/>
      </w:r>
      <w:r>
        <w:instrText xml:space="preserve"> HYPERLINK \l _Toc32169 </w:instrText>
      </w:r>
      <w:r>
        <w:fldChar w:fldCharType="separate"/>
      </w:r>
      <w:r>
        <w:rPr>
          <w:rFonts w:hint="eastAsia"/>
        </w:rPr>
        <w:t>附件一：项目绩效自评表</w:t>
      </w:r>
      <w:r>
        <w:tab/>
      </w:r>
      <w:r>
        <w:fldChar w:fldCharType="begin"/>
      </w:r>
      <w:r>
        <w:instrText xml:space="preserve"> PAGEREF _Toc32169 \h </w:instrText>
      </w:r>
      <w:r>
        <w:fldChar w:fldCharType="separate"/>
      </w:r>
      <w:r>
        <w:t>13</w:t>
      </w:r>
      <w:r>
        <w:fldChar w:fldCharType="end"/>
      </w:r>
      <w:r>
        <w:fldChar w:fldCharType="end"/>
      </w:r>
    </w:p>
    <w:p>
      <w:pPr>
        <w:ind w:firstLine="640"/>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425" w:num="1"/>
          <w:docGrid w:type="lines" w:linePitch="312" w:charSpace="0"/>
        </w:sectPr>
      </w:pPr>
      <w:r>
        <w:fldChar w:fldCharType="end"/>
      </w:r>
    </w:p>
    <w:p>
      <w:pPr>
        <w:pStyle w:val="4"/>
      </w:pPr>
      <w:bookmarkStart w:id="1" w:name="_Toc13004"/>
      <w:bookmarkStart w:id="2" w:name="_Toc79333430"/>
      <w:r>
        <w:rPr>
          <w:rFonts w:hint="eastAsia"/>
        </w:rPr>
        <w:t>一、项目基本情况</w:t>
      </w:r>
      <w:bookmarkEnd w:id="0"/>
      <w:bookmarkEnd w:id="1"/>
      <w:bookmarkEnd w:id="2"/>
    </w:p>
    <w:p>
      <w:pPr>
        <w:pStyle w:val="5"/>
      </w:pPr>
      <w:bookmarkStart w:id="3" w:name="_Toc79333431"/>
      <w:bookmarkStart w:id="4" w:name="_Toc8110"/>
      <w:bookmarkStart w:id="5" w:name="_Toc11894"/>
      <w:r>
        <w:rPr>
          <w:rFonts w:hint="eastAsia"/>
        </w:rPr>
        <w:t>（一）项目基本信息</w:t>
      </w:r>
      <w:bookmarkEnd w:id="3"/>
      <w:bookmarkEnd w:id="4"/>
      <w:bookmarkEnd w:id="5"/>
    </w:p>
    <w:p>
      <w:pPr>
        <w:pStyle w:val="6"/>
        <w:ind w:firstLine="643"/>
        <w:rPr>
          <w:rFonts w:hint="default" w:eastAsia="仿宋"/>
          <w:lang w:val="en-US" w:eastAsia="zh-CN"/>
        </w:rPr>
      </w:pPr>
      <w:bookmarkStart w:id="6" w:name="_Toc79333432"/>
      <w:r>
        <w:rPr>
          <w:rFonts w:hint="eastAsia"/>
        </w:rPr>
        <w:t>1、项目背景</w:t>
      </w:r>
      <w:bookmarkEnd w:id="6"/>
      <w:r>
        <w:rPr>
          <w:rFonts w:hint="eastAsia"/>
          <w:lang w:val="en-US" w:eastAsia="zh-CN"/>
        </w:rPr>
        <w:t>及项目实施内容</w:t>
      </w:r>
    </w:p>
    <w:p>
      <w:pPr>
        <w:ind w:firstLine="640"/>
        <w:rPr>
          <w:rFonts w:hint="eastAsia"/>
          <w:highlight w:val="none"/>
        </w:rPr>
      </w:pPr>
      <w:r>
        <w:rPr>
          <w:rFonts w:hint="eastAsia"/>
          <w:highlight w:val="none"/>
        </w:rPr>
        <w:t>中共</w:t>
      </w:r>
      <w:r>
        <w:rPr>
          <w:rFonts w:hint="eastAsia"/>
          <w:highlight w:val="none"/>
          <w:lang w:val="en-US" w:eastAsia="zh-CN"/>
        </w:rPr>
        <w:t>三门峡市</w:t>
      </w:r>
      <w:r>
        <w:rPr>
          <w:rFonts w:hint="eastAsia"/>
          <w:highlight w:val="none"/>
        </w:rPr>
        <w:t>委高度重视统一战线和多党合作事业，始终坚持“长期共存、互相监督、肝胆相照、荣辱与共”的方针。“每有大事，必相咨访”的政党协商实践已成为常态，中国特色社会主义新型政党制度效能逐步展现。民主党派、工商联知情出力渠道不断畅通，议政建言得到有效采纳。民主党派专项民主监督机制基本形成，有力推动</w:t>
      </w:r>
      <w:r>
        <w:rPr>
          <w:rFonts w:hint="eastAsia"/>
          <w:highlight w:val="none"/>
          <w:lang w:val="en-US" w:eastAsia="zh-CN"/>
        </w:rPr>
        <w:t>市</w:t>
      </w:r>
      <w:r>
        <w:rPr>
          <w:rFonts w:hint="eastAsia"/>
          <w:highlight w:val="none"/>
        </w:rPr>
        <w:t>委重要决策部署落实落地。</w:t>
      </w:r>
    </w:p>
    <w:p>
      <w:pPr>
        <w:ind w:firstLine="640"/>
        <w:rPr>
          <w:rFonts w:hint="eastAsia"/>
          <w:highlight w:val="none"/>
          <w:lang w:val="en-US" w:eastAsia="zh-CN"/>
        </w:rPr>
      </w:pPr>
      <w:r>
        <w:rPr>
          <w:rFonts w:hint="eastAsia"/>
        </w:rPr>
        <w:t>加强党外代表人士队伍建设。进一步加强优秀党外后备干部队伍建设；完善统一战线各领域工作基础数据。推进民主党派成员、无党派人士、党外知识分子、少数民族人士、宗教界人士、民营经济人士等各领域党外代表人士队伍和统战干部数据库建设。</w:t>
      </w:r>
    </w:p>
    <w:p>
      <w:pPr>
        <w:pStyle w:val="5"/>
        <w:rPr>
          <w:highlight w:val="none"/>
        </w:rPr>
      </w:pPr>
      <w:bookmarkStart w:id="7" w:name="_Toc14372"/>
      <w:bookmarkStart w:id="8" w:name="_Toc23932"/>
      <w:bookmarkStart w:id="9" w:name="_Toc79333434"/>
      <w:r>
        <w:rPr>
          <w:rFonts w:hint="eastAsia"/>
          <w:highlight w:val="none"/>
        </w:rPr>
        <w:t>（二）项目支出情况</w:t>
      </w:r>
      <w:bookmarkEnd w:id="7"/>
      <w:bookmarkEnd w:id="8"/>
      <w:bookmarkEnd w:id="9"/>
    </w:p>
    <w:p>
      <w:pPr>
        <w:pStyle w:val="6"/>
        <w:ind w:firstLine="643"/>
        <w:rPr>
          <w:highlight w:val="none"/>
        </w:rPr>
      </w:pPr>
      <w:bookmarkStart w:id="10" w:name="_Toc79333435"/>
      <w:bookmarkStart w:id="11" w:name="_Toc28118"/>
      <w:r>
        <w:rPr>
          <w:rFonts w:hint="eastAsia"/>
          <w:highlight w:val="none"/>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50</w:t>
      </w:r>
      <w:r>
        <w:rPr>
          <w:rFonts w:hint="eastAsia"/>
          <w:highlight w:val="none"/>
        </w:rPr>
        <w:t>万元，当年实际执行</w:t>
      </w:r>
      <w:r>
        <w:rPr>
          <w:rFonts w:hint="eastAsia"/>
          <w:highlight w:val="none"/>
          <w:lang w:val="en-US" w:eastAsia="zh-CN"/>
        </w:rPr>
        <w:t>50</w:t>
      </w:r>
      <w:r>
        <w:rPr>
          <w:rFonts w:hint="eastAsia"/>
          <w:highlight w:val="none"/>
        </w:rPr>
        <w:t>万元。</w:t>
      </w:r>
    </w:p>
    <w:p>
      <w:pPr>
        <w:pStyle w:val="6"/>
        <w:ind w:firstLine="643"/>
      </w:pPr>
      <w:bookmarkStart w:id="12" w:name="_Toc79333436"/>
      <w:bookmarkStart w:id="13" w:name="_Toc18098"/>
      <w:r>
        <w:rPr>
          <w:rFonts w:hint="eastAsia"/>
          <w:highlight w:val="none"/>
        </w:rPr>
        <w:t>2、项目预算执行</w:t>
      </w:r>
      <w:r>
        <w:rPr>
          <w:rFonts w:hint="eastAsia"/>
        </w:rPr>
        <w:t>情况</w:t>
      </w:r>
      <w:bookmarkEnd w:id="12"/>
      <w:bookmarkEnd w:id="13"/>
    </w:p>
    <w:p>
      <w:pPr>
        <w:ind w:firstLine="640"/>
        <w:jc w:val="left"/>
        <w:rPr>
          <w:highlight w:val="yellow"/>
        </w:rPr>
      </w:pPr>
      <w:r>
        <w:rPr>
          <w:rFonts w:hint="eastAsia"/>
          <w:highlight w:val="none"/>
        </w:rPr>
        <w:t>项目全年预算财政资金为</w:t>
      </w:r>
      <w:r>
        <w:rPr>
          <w:rFonts w:hint="eastAsia"/>
          <w:highlight w:val="none"/>
          <w:lang w:val="en-US" w:eastAsia="zh-CN"/>
        </w:rPr>
        <w:t>50</w:t>
      </w:r>
      <w:r>
        <w:rPr>
          <w:rFonts w:hint="eastAsia"/>
          <w:highlight w:val="none"/>
        </w:rPr>
        <w:t>万元，实际支出</w:t>
      </w:r>
      <w:r>
        <w:rPr>
          <w:rFonts w:hint="eastAsia"/>
          <w:highlight w:val="none"/>
          <w:lang w:val="en-US" w:eastAsia="zh-CN"/>
        </w:rPr>
        <w:t>50</w:t>
      </w:r>
      <w:r>
        <w:rPr>
          <w:rFonts w:hint="eastAsia"/>
          <w:highlight w:val="none"/>
        </w:rPr>
        <w:t>万元，执行率100%。</w:t>
      </w:r>
    </w:p>
    <w:p>
      <w:pPr>
        <w:pStyle w:val="4"/>
      </w:pPr>
      <w:bookmarkStart w:id="14" w:name="_Toc10420"/>
      <w:bookmarkStart w:id="15" w:name="_Toc23308"/>
      <w:bookmarkStart w:id="16" w:name="_Toc75871361"/>
      <w:bookmarkStart w:id="17" w:name="_Toc79333437"/>
      <w:r>
        <w:rPr>
          <w:rFonts w:hint="eastAsia"/>
        </w:rPr>
        <w:t>二、绩效自评工作开展情况</w:t>
      </w:r>
      <w:bookmarkEnd w:id="14"/>
      <w:bookmarkEnd w:id="15"/>
      <w:bookmarkEnd w:id="16"/>
      <w:bookmarkEnd w:id="17"/>
    </w:p>
    <w:p>
      <w:pPr>
        <w:pStyle w:val="5"/>
      </w:pPr>
      <w:bookmarkStart w:id="18" w:name="_Toc12389"/>
      <w:bookmarkStart w:id="19" w:name="_Toc75871362"/>
      <w:bookmarkStart w:id="20" w:name="_Toc79333438"/>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pPr>
      <w:bookmarkStart w:id="21" w:name="_Toc3060"/>
      <w:bookmarkStart w:id="22" w:name="_Toc75871363"/>
      <w:bookmarkStart w:id="23" w:name="_Toc15473"/>
      <w:bookmarkStart w:id="24" w:name="_Toc79333439"/>
      <w:r>
        <w:rPr>
          <w:rFonts w:hint="eastAsia"/>
        </w:rPr>
        <w:t>（二）绩效自评价对象和范围</w:t>
      </w:r>
      <w:bookmarkEnd w:id="21"/>
      <w:bookmarkEnd w:id="22"/>
      <w:bookmarkEnd w:id="23"/>
      <w:bookmarkEnd w:id="24"/>
    </w:p>
    <w:p>
      <w:pPr>
        <w:ind w:firstLine="640"/>
        <w:rPr>
          <w:highlight w:val="none"/>
        </w:rPr>
      </w:pPr>
      <w:r>
        <w:rPr>
          <w:rFonts w:hint="eastAsia"/>
          <w:highlight w:val="none"/>
        </w:rPr>
        <w:t>本次绩效自评价对象为2</w:t>
      </w:r>
      <w:r>
        <w:rPr>
          <w:highlight w:val="none"/>
        </w:rPr>
        <w:t>02</w:t>
      </w:r>
      <w:r>
        <w:rPr>
          <w:rFonts w:hint="eastAsia"/>
          <w:highlight w:val="none"/>
        </w:rPr>
        <w:t>1年民主党派（含民进支部）活动经费项目专项资金，评价范围为涉及该项目管理及其预算资金</w:t>
      </w:r>
      <w:r>
        <w:rPr>
          <w:rFonts w:hint="eastAsia"/>
          <w:highlight w:val="none"/>
          <w:lang w:val="en-US" w:eastAsia="zh-CN"/>
        </w:rPr>
        <w:t>50</w:t>
      </w:r>
      <w:r>
        <w:rPr>
          <w:rFonts w:hint="eastAsia"/>
          <w:highlight w:val="none"/>
        </w:rPr>
        <w:t>万元的使用情况。</w:t>
      </w:r>
    </w:p>
    <w:p>
      <w:pPr>
        <w:pStyle w:val="5"/>
      </w:pPr>
      <w:bookmarkStart w:id="25" w:name="_Toc8160"/>
      <w:bookmarkStart w:id="26" w:name="_Toc75871364"/>
      <w:bookmarkStart w:id="27" w:name="_Toc20852"/>
      <w:bookmarkStart w:id="28" w:name="_Toc79333440"/>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pStyle w:val="2"/>
        <w:numPr>
          <w:ilvl w:val="0"/>
          <w:numId w:val="1"/>
        </w:numPr>
        <w:ind w:left="0" w:leftChars="0" w:firstLine="640" w:firstLineChars="200"/>
      </w:pPr>
      <w:r>
        <w:rPr>
          <w:rFonts w:hint="eastAsia"/>
          <w:lang w:val="en-US" w:eastAsia="zh-CN"/>
        </w:rPr>
        <w:t>《三门峡市财政局关于开展2021年度市级预算绩效自评工作的通知》（三财效</w:t>
      </w:r>
      <w:r>
        <w:rPr>
          <w:rFonts w:hint="eastAsia"/>
        </w:rPr>
        <w:t>〔2020〕</w:t>
      </w:r>
      <w:r>
        <w:rPr>
          <w:rFonts w:hint="eastAsia"/>
          <w:lang w:val="en-US" w:eastAsia="zh-CN"/>
        </w:rPr>
        <w:t>3</w:t>
      </w:r>
      <w:r>
        <w:rPr>
          <w:rFonts w:hint="eastAsia"/>
        </w:rPr>
        <w:t>号</w:t>
      </w:r>
      <w:r>
        <w:rPr>
          <w:rFonts w:hint="eastAsia"/>
          <w:lang w:val="en-US" w:eastAsia="zh-CN"/>
        </w:rPr>
        <w:t>）；</w:t>
      </w:r>
    </w:p>
    <w:p>
      <w:pPr>
        <w:numPr>
          <w:ilvl w:val="0"/>
          <w:numId w:val="1"/>
        </w:numPr>
        <w:ind w:firstLine="640"/>
      </w:pPr>
      <w:r>
        <w:rPr>
          <w:rFonts w:hint="eastAsia"/>
        </w:rPr>
        <w:t>与本次自评相关的其他资料。</w:t>
      </w:r>
    </w:p>
    <w:p>
      <w:pPr>
        <w:pStyle w:val="5"/>
      </w:pPr>
      <w:bookmarkStart w:id="29" w:name="_Toc13521"/>
      <w:bookmarkStart w:id="30" w:name="_Toc79333441"/>
      <w:bookmarkStart w:id="31" w:name="_Toc75871365"/>
      <w:bookmarkStart w:id="32" w:name="_Toc3753"/>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5"/>
      </w:pPr>
      <w:bookmarkStart w:id="34" w:name="_Toc11072"/>
      <w:bookmarkStart w:id="35" w:name="_Toc79333442"/>
      <w:bookmarkStart w:id="36" w:name="_Toc75871366"/>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4"/>
      </w:pPr>
      <w:bookmarkStart w:id="37" w:name="_Toc79333443"/>
      <w:bookmarkStart w:id="38" w:name="_Toc15878"/>
      <w:r>
        <w:rPr>
          <w:rFonts w:hint="eastAsia"/>
        </w:rPr>
        <w:t>三、绩效自评结果及分析</w:t>
      </w:r>
      <w:bookmarkEnd w:id="37"/>
      <w:bookmarkEnd w:id="38"/>
    </w:p>
    <w:p>
      <w:pPr>
        <w:pStyle w:val="5"/>
      </w:pPr>
      <w:bookmarkStart w:id="39" w:name="_Toc79333444"/>
      <w:bookmarkStart w:id="40" w:name="_Toc23688"/>
      <w:bookmarkStart w:id="41" w:name="_Toc4028"/>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pPr>
      <w:r>
        <w:rPr>
          <w:rFonts w:hint="eastAsia"/>
        </w:rPr>
        <w:t>我单位通过对本项目调查研究、座谈、查阅相关资料，根据相关政策要求进行打分，最终项目自评价得分为</w:t>
      </w:r>
      <w:r>
        <w:rPr>
          <w:rFonts w:hint="eastAsia"/>
          <w:lang w:val="en-US" w:eastAsia="zh-CN"/>
        </w:rPr>
        <w:t>98</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pStyle w:val="19"/>
        <w:ind w:firstLine="643"/>
        <w:rPr>
          <w:rFonts w:hint="eastAsia"/>
        </w:rPr>
      </w:pPr>
      <w:r>
        <w:rPr>
          <w:rFonts w:hint="eastAsia"/>
        </w:rPr>
        <w:t>表3.1 绩效自评价得分表</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3"/>
        <w:gridCol w:w="1131"/>
        <w:gridCol w:w="2145"/>
        <w:gridCol w:w="2145"/>
        <w:gridCol w:w="2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blHeader/>
        </w:trPr>
        <w:tc>
          <w:tcPr>
            <w:tcW w:w="953"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pStyle w:val="18"/>
              <w:ind w:firstLine="0" w:firstLineChars="0"/>
              <w:rPr>
                <w:rFonts w:hint="eastAsia"/>
                <w:highlight w:val="none"/>
                <w:lang w:val="en-US" w:eastAsia="zh-CN"/>
              </w:rPr>
            </w:pPr>
            <w:r>
              <w:rPr>
                <w:rFonts w:hint="eastAsia"/>
                <w:highlight w:val="none"/>
                <w:lang w:val="en-US" w:eastAsia="zh-CN"/>
              </w:rPr>
              <w:t>一级指标</w:t>
            </w:r>
          </w:p>
        </w:tc>
        <w:tc>
          <w:tcPr>
            <w:tcW w:w="1131"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pStyle w:val="18"/>
              <w:ind w:firstLine="0" w:firstLineChars="0"/>
              <w:rPr>
                <w:rFonts w:hint="eastAsia"/>
                <w:highlight w:val="none"/>
                <w:lang w:val="en-US" w:eastAsia="zh-CN"/>
              </w:rPr>
            </w:pPr>
            <w:r>
              <w:rPr>
                <w:rFonts w:hint="eastAsia"/>
                <w:highlight w:val="none"/>
                <w:lang w:val="en-US" w:eastAsia="zh-CN"/>
              </w:rPr>
              <w:t>二级指标</w:t>
            </w:r>
          </w:p>
        </w:tc>
        <w:tc>
          <w:tcPr>
            <w:tcW w:w="214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pStyle w:val="18"/>
              <w:ind w:firstLine="0" w:firstLineChars="0"/>
              <w:rPr>
                <w:rFonts w:hint="eastAsia"/>
                <w:highlight w:val="none"/>
                <w:lang w:val="en-US" w:eastAsia="zh-CN"/>
              </w:rPr>
            </w:pPr>
            <w:r>
              <w:rPr>
                <w:rFonts w:hint="eastAsia"/>
                <w:highlight w:val="none"/>
                <w:lang w:val="en-US" w:eastAsia="zh-CN"/>
              </w:rPr>
              <w:t>三级指标</w:t>
            </w:r>
          </w:p>
        </w:tc>
        <w:tc>
          <w:tcPr>
            <w:tcW w:w="214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pStyle w:val="18"/>
              <w:ind w:firstLine="0" w:firstLineChars="0"/>
              <w:rPr>
                <w:rFonts w:hint="eastAsia"/>
                <w:highlight w:val="none"/>
              </w:rPr>
            </w:pPr>
            <w:r>
              <w:rPr>
                <w:rFonts w:hint="eastAsia"/>
                <w:highlight w:val="none"/>
              </w:rPr>
              <w:t>标准分值</w:t>
            </w:r>
          </w:p>
        </w:tc>
        <w:tc>
          <w:tcPr>
            <w:tcW w:w="214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pStyle w:val="18"/>
              <w:ind w:firstLine="0" w:firstLineChars="0"/>
              <w:rPr>
                <w:rFonts w:hint="eastAsia"/>
                <w:highlight w:val="none"/>
              </w:rPr>
            </w:pPr>
            <w:r>
              <w:rPr>
                <w:rFonts w:hint="eastAsia"/>
                <w:highlight w:val="none"/>
              </w:rPr>
              <w:t>实际得分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restart"/>
            <w:tcBorders>
              <w:top w:val="single" w:color="000000" w:sz="4" w:space="0"/>
              <w:left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产出指标</w:t>
            </w:r>
          </w:p>
        </w:tc>
        <w:tc>
          <w:tcPr>
            <w:tcW w:w="1131" w:type="dxa"/>
            <w:tcBorders>
              <w:top w:val="single" w:color="000000" w:sz="4" w:space="0"/>
              <w:left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预算执行率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ind w:firstLine="0" w:firstLineChars="0"/>
              <w:rPr>
                <w:rFonts w:hint="eastAsia"/>
                <w:highlight w:val="none"/>
                <w:lang w:val="en-US" w:eastAsia="zh-CN"/>
              </w:rPr>
            </w:pPr>
            <w:r>
              <w:rPr>
                <w:rFonts w:hint="eastAsia"/>
                <w:highlight w:val="none"/>
              </w:rPr>
              <w:t>预算执行率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ind w:firstLine="0" w:firstLineChars="0"/>
              <w:rPr>
                <w:rFonts w:hint="eastAsia"/>
                <w:highlight w:val="none"/>
                <w:lang w:val="en-US" w:eastAsia="zh-CN"/>
              </w:rPr>
            </w:pPr>
            <w:r>
              <w:rPr>
                <w:rFonts w:hint="eastAsia"/>
                <w:highlight w:val="none"/>
                <w:lang w:val="en-US" w:eastAsia="zh-CN"/>
              </w:rPr>
              <w:t>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ind w:firstLine="0" w:firstLineChars="0"/>
              <w:rPr>
                <w:rFonts w:hint="eastAsia"/>
                <w:highlight w:val="none"/>
                <w:lang w:val="en-US" w:eastAsia="zh-CN"/>
              </w:rPr>
            </w:pPr>
            <w:r>
              <w:rPr>
                <w:rFonts w:hint="eastAsia"/>
                <w:highlight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restart"/>
            <w:tcBorders>
              <w:top w:val="single" w:color="000000" w:sz="4" w:space="0"/>
              <w:left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数量指标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三下乡完成率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ind w:firstLine="0" w:firstLineChars="0"/>
              <w:rPr>
                <w:rFonts w:hint="eastAsia"/>
                <w:highlight w:val="none"/>
                <w:lang w:val="en-US" w:eastAsia="zh-CN"/>
              </w:rPr>
            </w:pPr>
            <w:r>
              <w:rPr>
                <w:rFonts w:hint="eastAsia"/>
                <w:highlight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调研完成率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召开会议完成率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培训完成率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社会服务公益活动完成率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党史学习教育活动完成率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老干部、老党员慰问完成率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restart"/>
            <w:tcBorders>
              <w:top w:val="single" w:color="000000" w:sz="4" w:space="0"/>
              <w:left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质量指标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三下乡覆盖率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调研覆盖率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召开会议覆盖率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培训出勤率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社会服务公益活动覆盖率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党史学习教育活动覆盖率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老干部慰问覆盖率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restart"/>
            <w:tcBorders>
              <w:top w:val="single" w:color="000000" w:sz="4" w:space="0"/>
              <w:left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时效指标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三下乡及时性</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调研及时性</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召开会议及时性</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社会服务公益活动及时性</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党史学习教育活动及时性</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老干部慰问及时性</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restart"/>
            <w:tcBorders>
              <w:top w:val="single" w:color="000000" w:sz="4" w:space="0"/>
              <w:left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成本指标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民盟项目经费</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九三学社项目经费</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农工党项目经费</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民进项目经费</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民建项目经费</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highlight w:val="none"/>
                <w:lang w:val="en-US" w:eastAsia="zh-CN"/>
              </w:rPr>
            </w:pPr>
            <w:r>
              <w:rPr>
                <w:rFonts w:hint="eastAsia" w:ascii="Times New Roman" w:hAnsi="Times New Roman" w:eastAsia="仿宋" w:cstheme="minorBidi"/>
                <w:kern w:val="2"/>
                <w:sz w:val="24"/>
                <w:szCs w:val="24"/>
                <w:highlight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953" w:type="dxa"/>
            <w:vMerge w:val="restart"/>
            <w:tcBorders>
              <w:top w:val="single" w:color="000000" w:sz="4" w:space="0"/>
              <w:left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效益指标</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经济效益</w:t>
            </w:r>
            <w:r>
              <w:rPr>
                <w:rFonts w:hint="eastAsia"/>
                <w:highlight w:val="none"/>
                <w:lang w:val="en-US" w:eastAsia="zh-CN"/>
              </w:rPr>
              <w:br w:type="textWrapping"/>
            </w:r>
            <w:r>
              <w:rPr>
                <w:rFonts w:hint="eastAsia"/>
                <w:highlight w:val="none"/>
                <w:lang w:val="en-US" w:eastAsia="zh-CN"/>
              </w:rPr>
              <w:t>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提供合理意见，促进三门峡经济发展</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ind w:firstLine="0" w:firstLineChars="0"/>
              <w:rPr>
                <w:rFonts w:hint="eastAsia"/>
                <w:highlight w:val="none"/>
                <w:lang w:val="en-US" w:eastAsia="zh-CN"/>
              </w:rPr>
            </w:pPr>
            <w:r>
              <w:rPr>
                <w:rFonts w:hint="eastAsia"/>
                <w:highlight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restart"/>
            <w:tcBorders>
              <w:top w:val="single" w:color="000000" w:sz="4" w:space="0"/>
              <w:left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社会效益</w:t>
            </w:r>
            <w:r>
              <w:rPr>
                <w:rFonts w:hint="eastAsia"/>
                <w:highlight w:val="none"/>
                <w:lang w:val="en-US" w:eastAsia="zh-CN"/>
              </w:rPr>
              <w:br w:type="textWrapping"/>
            </w:r>
            <w:r>
              <w:rPr>
                <w:rFonts w:hint="eastAsia"/>
                <w:highlight w:val="none"/>
                <w:lang w:val="en-US" w:eastAsia="zh-CN"/>
              </w:rPr>
              <w:t>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增强参政议政的能力，提升凝聚力</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ind w:firstLine="0" w:firstLineChars="0"/>
              <w:rPr>
                <w:rFonts w:hint="eastAsia"/>
                <w:highlight w:val="none"/>
                <w:lang w:val="en-US" w:eastAsia="zh-CN"/>
              </w:rPr>
            </w:pPr>
            <w:r>
              <w:rPr>
                <w:rFonts w:hint="eastAsia"/>
                <w:highlight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为三门峡市高质量发展，建设新的省域中心城市，做出更大贡献</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ind w:firstLine="0" w:firstLineChars="0"/>
              <w:rPr>
                <w:rFonts w:hint="eastAsia"/>
                <w:highlight w:val="none"/>
                <w:lang w:val="en-US" w:eastAsia="zh-CN"/>
              </w:rPr>
            </w:pPr>
            <w:r>
              <w:rPr>
                <w:rFonts w:hint="eastAsia"/>
                <w:highlight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953" w:type="dxa"/>
            <w:vMerge w:val="continue"/>
            <w:tcBorders>
              <w:left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丰富市民疾病预防保健知识</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953" w:type="dxa"/>
            <w:vMerge w:val="continue"/>
            <w:tcBorders>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可持续影响</w:t>
            </w:r>
            <w:r>
              <w:rPr>
                <w:rFonts w:hint="eastAsia"/>
                <w:highlight w:val="none"/>
                <w:lang w:val="en-US" w:eastAsia="zh-CN"/>
              </w:rPr>
              <w:br w:type="textWrapping"/>
            </w:r>
            <w:r>
              <w:rPr>
                <w:rFonts w:hint="eastAsia"/>
                <w:highlight w:val="none"/>
                <w:lang w:val="en-US" w:eastAsia="zh-CN"/>
              </w:rPr>
              <w:t>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持续保持各民主党派参政议政，民主监督，服务社会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 w:hRule="atLeast"/>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满意度指标</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服务对象满意度指标</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受益民主人士满意度</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受益群众满意度</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42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总分</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100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98</w:t>
            </w:r>
          </w:p>
        </w:tc>
      </w:tr>
    </w:tbl>
    <w:p>
      <w:pPr>
        <w:pStyle w:val="5"/>
      </w:pPr>
      <w:bookmarkStart w:id="42" w:name="_Toc2870"/>
      <w:bookmarkStart w:id="43" w:name="_Toc31442"/>
      <w:bookmarkStart w:id="44" w:name="_Toc79333445"/>
      <w:r>
        <w:rPr>
          <w:rFonts w:hint="eastAsia"/>
        </w:rPr>
        <w:t>（二）自评指标分析</w:t>
      </w:r>
      <w:bookmarkEnd w:id="42"/>
      <w:bookmarkEnd w:id="43"/>
      <w:bookmarkEnd w:id="44"/>
    </w:p>
    <w:p>
      <w:pPr>
        <w:pStyle w:val="6"/>
        <w:ind w:firstLine="643"/>
      </w:pPr>
      <w:bookmarkStart w:id="45" w:name="_Toc9747"/>
      <w:bookmarkStart w:id="46" w:name="_Toc79333446"/>
      <w:r>
        <w:rPr>
          <w:rFonts w:hint="eastAsia"/>
        </w:rPr>
        <w:t>1、预算执行指标分析</w:t>
      </w:r>
      <w:bookmarkEnd w:id="45"/>
      <w:bookmarkEnd w:id="46"/>
    </w:p>
    <w:p>
      <w:pPr>
        <w:ind w:firstLine="640"/>
        <w:rPr>
          <w:highlight w:val="none"/>
        </w:rPr>
      </w:pPr>
      <w:r>
        <w:rPr>
          <w:rFonts w:hint="eastAsia"/>
          <w:highlight w:val="none"/>
        </w:rPr>
        <w:t>一级指标“预算执行”下设一个二级指标和一个三级指标，均为“预算执行率”，该指标标准分值</w:t>
      </w:r>
      <w:r>
        <w:rPr>
          <w:highlight w:val="none"/>
        </w:rPr>
        <w:t>10分，实际得分</w:t>
      </w:r>
      <w:r>
        <w:rPr>
          <w:rFonts w:hint="eastAsia"/>
          <w:highlight w:val="none"/>
          <w:lang w:val="en-US" w:eastAsia="zh-CN"/>
        </w:rPr>
        <w:t>10</w:t>
      </w:r>
      <w:r>
        <w:rPr>
          <w:rFonts w:hint="eastAsia"/>
          <w:highlight w:val="none"/>
        </w:rPr>
        <w:t>分。</w:t>
      </w:r>
    </w:p>
    <w:p>
      <w:pPr>
        <w:ind w:firstLine="640"/>
      </w:pPr>
      <w:r>
        <w:rPr>
          <w:rFonts w:hint="eastAsia"/>
          <w:highlight w:val="none"/>
        </w:rPr>
        <w:t>项目全年预算资金为</w:t>
      </w:r>
      <w:r>
        <w:rPr>
          <w:rFonts w:hint="eastAsia"/>
          <w:highlight w:val="none"/>
          <w:lang w:val="en-US" w:eastAsia="zh-CN"/>
        </w:rPr>
        <w:t>50</w:t>
      </w:r>
      <w:r>
        <w:rPr>
          <w:rFonts w:hint="eastAsia"/>
          <w:highlight w:val="none"/>
        </w:rPr>
        <w:t>万元，全年执行数为</w:t>
      </w:r>
      <w:r>
        <w:rPr>
          <w:rFonts w:hint="eastAsia"/>
          <w:highlight w:val="none"/>
          <w:lang w:val="en-US" w:eastAsia="zh-CN"/>
        </w:rPr>
        <w:t>50</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6"/>
        <w:ind w:firstLine="643"/>
      </w:pPr>
      <w:bookmarkStart w:id="47" w:name="_Toc79333447"/>
      <w:r>
        <w:rPr>
          <w:rFonts w:hint="eastAsia"/>
        </w:rPr>
        <w:t>2、产出指标分析</w:t>
      </w:r>
      <w:bookmarkEnd w:id="47"/>
    </w:p>
    <w:p>
      <w:pPr>
        <w:ind w:firstLine="640"/>
      </w:pPr>
      <w:bookmarkStart w:id="48" w:name="_Toc29830"/>
      <w:bookmarkStart w:id="49" w:name="_Toc79333450"/>
      <w:r>
        <w:rPr>
          <w:rFonts w:hint="eastAsia"/>
        </w:rPr>
        <w:t>一级指标“产出指标”下设</w:t>
      </w:r>
      <w:r>
        <w:rPr>
          <w:rFonts w:hint="eastAsia"/>
          <w:lang w:val="en-US" w:eastAsia="zh-CN"/>
        </w:rPr>
        <w:t>四</w:t>
      </w:r>
      <w:r>
        <w:rPr>
          <w:rFonts w:hint="eastAsia"/>
        </w:rPr>
        <w:t>个二级指标：</w:t>
      </w:r>
      <w:r>
        <w:rPr>
          <w:rFonts w:hint="eastAsia"/>
          <w:lang w:eastAsia="zh-CN"/>
        </w:rPr>
        <w:t>“</w:t>
      </w:r>
      <w:r>
        <w:rPr>
          <w:rFonts w:hint="eastAsia"/>
          <w:lang w:val="en-US" w:eastAsia="zh-CN"/>
        </w:rPr>
        <w:t>数量指标</w:t>
      </w:r>
      <w:r>
        <w:rPr>
          <w:rFonts w:hint="eastAsia"/>
          <w:lang w:eastAsia="zh-CN"/>
        </w:rPr>
        <w:t>”、“</w:t>
      </w:r>
      <w:r>
        <w:rPr>
          <w:rFonts w:hint="eastAsia"/>
          <w:lang w:val="en-US" w:eastAsia="zh-CN"/>
        </w:rPr>
        <w:t>质量指标</w:t>
      </w:r>
      <w:r>
        <w:rPr>
          <w:rFonts w:hint="eastAsia"/>
          <w:lang w:eastAsia="zh-CN"/>
        </w:rPr>
        <w:t>”、“</w:t>
      </w:r>
      <w:r>
        <w:rPr>
          <w:rFonts w:hint="eastAsia"/>
          <w:lang w:val="en-US" w:eastAsia="zh-CN"/>
        </w:rPr>
        <w:t>时效指标</w:t>
      </w:r>
      <w:r>
        <w:rPr>
          <w:rFonts w:hint="eastAsia"/>
          <w:lang w:eastAsia="zh-CN"/>
        </w:rPr>
        <w:t>”、</w:t>
      </w:r>
      <w:r>
        <w:rPr>
          <w:rFonts w:hint="eastAsia"/>
        </w:rPr>
        <w:t>“成本指标”。</w:t>
      </w:r>
    </w:p>
    <w:p>
      <w:pPr>
        <w:numPr>
          <w:ilvl w:val="0"/>
          <w:numId w:val="2"/>
        </w:numPr>
        <w:ind w:firstLine="640"/>
        <w:rPr>
          <w:rFonts w:hint="eastAsia"/>
          <w:lang w:val="en-US" w:eastAsia="zh-CN"/>
        </w:rPr>
      </w:pPr>
      <w:r>
        <w:rPr>
          <w:rFonts w:hint="eastAsia"/>
          <w:lang w:val="en-US" w:eastAsia="zh-CN"/>
        </w:rPr>
        <w:t>数量指标</w:t>
      </w:r>
    </w:p>
    <w:p>
      <w:pPr>
        <w:ind w:firstLine="640"/>
        <w:rPr>
          <w:rFonts w:hint="eastAsia"/>
          <w:lang w:val="en-US" w:eastAsia="zh-CN"/>
        </w:rPr>
      </w:pPr>
      <w:r>
        <w:rPr>
          <w:rFonts w:hint="eastAsia"/>
          <w:lang w:val="en-US" w:eastAsia="zh-CN"/>
        </w:rPr>
        <w:t>“数量指标”下设七个三级指标“</w:t>
      </w:r>
      <w:r>
        <w:rPr>
          <w:rFonts w:hint="eastAsia"/>
          <w:highlight w:val="none"/>
          <w:lang w:val="en-US" w:eastAsia="zh-CN"/>
        </w:rPr>
        <w:t>三下乡完成率</w:t>
      </w:r>
      <w:r>
        <w:rPr>
          <w:rFonts w:hint="eastAsia"/>
          <w:lang w:val="en-US" w:eastAsia="zh-CN"/>
        </w:rPr>
        <w:t>”、“</w:t>
      </w:r>
      <w:r>
        <w:rPr>
          <w:rFonts w:hint="eastAsia"/>
          <w:highlight w:val="none"/>
          <w:lang w:val="en-US" w:eastAsia="zh-CN"/>
        </w:rPr>
        <w:t>调研完成率</w:t>
      </w:r>
      <w:r>
        <w:rPr>
          <w:rFonts w:hint="eastAsia"/>
          <w:lang w:val="en-US" w:eastAsia="zh-CN"/>
        </w:rPr>
        <w:t>”、“</w:t>
      </w:r>
      <w:r>
        <w:rPr>
          <w:rFonts w:hint="eastAsia"/>
          <w:highlight w:val="none"/>
          <w:lang w:val="en-US" w:eastAsia="zh-CN"/>
        </w:rPr>
        <w:t>召开会议完成率</w:t>
      </w:r>
      <w:r>
        <w:rPr>
          <w:rFonts w:hint="eastAsia"/>
          <w:lang w:val="en-US" w:eastAsia="zh-CN"/>
        </w:rPr>
        <w:t>”、“</w:t>
      </w:r>
      <w:r>
        <w:rPr>
          <w:rFonts w:hint="eastAsia"/>
          <w:highlight w:val="none"/>
          <w:lang w:val="en-US" w:eastAsia="zh-CN"/>
        </w:rPr>
        <w:t>培训完成率</w:t>
      </w:r>
      <w:r>
        <w:rPr>
          <w:rFonts w:hint="eastAsia"/>
          <w:lang w:val="en-US" w:eastAsia="zh-CN"/>
        </w:rPr>
        <w:t>”、“</w:t>
      </w:r>
      <w:r>
        <w:rPr>
          <w:rFonts w:hint="eastAsia"/>
          <w:highlight w:val="none"/>
          <w:lang w:val="en-US" w:eastAsia="zh-CN"/>
        </w:rPr>
        <w:t>社会服务公益活动完成率</w:t>
      </w:r>
      <w:r>
        <w:rPr>
          <w:rFonts w:hint="eastAsia"/>
          <w:lang w:val="en-US" w:eastAsia="zh-CN"/>
        </w:rPr>
        <w:t>”、“</w:t>
      </w:r>
      <w:r>
        <w:rPr>
          <w:rFonts w:hint="eastAsia"/>
          <w:highlight w:val="none"/>
          <w:lang w:val="en-US" w:eastAsia="zh-CN"/>
        </w:rPr>
        <w:t>党史学习教育活动完成率</w:t>
      </w:r>
      <w:r>
        <w:rPr>
          <w:rFonts w:hint="eastAsia"/>
          <w:lang w:val="en-US" w:eastAsia="zh-CN"/>
        </w:rPr>
        <w:t>”、“</w:t>
      </w:r>
      <w:r>
        <w:rPr>
          <w:rFonts w:hint="eastAsia"/>
          <w:highlight w:val="none"/>
          <w:lang w:val="en-US" w:eastAsia="zh-CN"/>
        </w:rPr>
        <w:t>老干部、老党员慰问完成率</w:t>
      </w:r>
      <w:r>
        <w:rPr>
          <w:rFonts w:hint="eastAsia"/>
          <w:lang w:val="en-US" w:eastAsia="zh-CN"/>
        </w:rPr>
        <w:t>”。</w:t>
      </w:r>
    </w:p>
    <w:p>
      <w:pPr>
        <w:ind w:firstLine="640"/>
        <w:rPr>
          <w:rFonts w:hint="default"/>
          <w:highlight w:val="none"/>
          <w:lang w:val="en-US" w:eastAsia="zh-CN"/>
        </w:rPr>
      </w:pPr>
      <w:r>
        <w:rPr>
          <w:rFonts w:hint="eastAsia"/>
          <w:lang w:val="en-US" w:eastAsia="zh-CN"/>
        </w:rPr>
        <w:t>“</w:t>
      </w:r>
      <w:r>
        <w:rPr>
          <w:rFonts w:hint="eastAsia"/>
          <w:highlight w:val="none"/>
          <w:lang w:val="en-US" w:eastAsia="zh-CN"/>
        </w:rPr>
        <w:t>三下乡完成率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调研完成率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召开会议完成率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培训完成率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社会服务公益活动完成率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党史学习教育活动完成率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老干部、老党员慰问完成率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p>
    <w:p>
      <w:pPr>
        <w:ind w:firstLine="640"/>
        <w:rPr>
          <w:highlight w:val="none"/>
        </w:rPr>
      </w:pPr>
      <w:r>
        <w:rPr>
          <w:rFonts w:hint="eastAsia"/>
          <w:highlight w:val="none"/>
        </w:rPr>
        <w:t>综上所述，根据评分标准，数量指标实际得</w:t>
      </w:r>
      <w:r>
        <w:rPr>
          <w:rFonts w:hint="eastAsia"/>
          <w:highlight w:val="none"/>
          <w:lang w:val="en-US" w:eastAsia="zh-CN"/>
        </w:rPr>
        <w:t>14</w:t>
      </w:r>
      <w:r>
        <w:rPr>
          <w:highlight w:val="none"/>
        </w:rPr>
        <w:t>分。</w:t>
      </w:r>
    </w:p>
    <w:p>
      <w:pPr>
        <w:numPr>
          <w:ilvl w:val="0"/>
          <w:numId w:val="2"/>
        </w:numPr>
        <w:ind w:firstLine="640"/>
        <w:rPr>
          <w:highlight w:val="none"/>
        </w:rPr>
      </w:pPr>
      <w:r>
        <w:rPr>
          <w:rFonts w:hint="eastAsia"/>
          <w:highlight w:val="none"/>
        </w:rPr>
        <w:t>质量指标</w:t>
      </w:r>
    </w:p>
    <w:p>
      <w:pPr>
        <w:ind w:firstLine="640"/>
        <w:rPr>
          <w:rFonts w:hint="eastAsia"/>
          <w:highlight w:val="none"/>
          <w:lang w:val="en-US" w:eastAsia="zh-CN"/>
        </w:rPr>
      </w:pPr>
      <w:r>
        <w:rPr>
          <w:rFonts w:hint="eastAsia"/>
          <w:highlight w:val="none"/>
          <w:lang w:val="en-US" w:eastAsia="zh-CN"/>
        </w:rPr>
        <w:t>“质量指标”下设七个三级指标“三下乡覆盖率”、“调研覆盖率”、“召开会议覆盖率”、“培训出勤率”、“社会服务公益活动覆盖率”、“党史学习教育活动覆盖率”、“老干部慰问覆盖率”。</w:t>
      </w:r>
    </w:p>
    <w:p>
      <w:pPr>
        <w:ind w:firstLine="640"/>
        <w:rPr>
          <w:rFonts w:hint="default"/>
          <w:highlight w:val="none"/>
          <w:lang w:val="en-US" w:eastAsia="zh-CN"/>
        </w:rPr>
      </w:pPr>
      <w:r>
        <w:rPr>
          <w:rFonts w:hint="eastAsia"/>
          <w:lang w:val="en-US" w:eastAsia="zh-CN"/>
        </w:rPr>
        <w:t>“</w:t>
      </w:r>
      <w:r>
        <w:rPr>
          <w:rFonts w:hint="eastAsia"/>
          <w:highlight w:val="none"/>
          <w:lang w:val="en-US" w:eastAsia="zh-CN"/>
        </w:rPr>
        <w:t>三下乡覆盖率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调研覆盖率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召开会议覆盖率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培训出勤率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社会服务公益活动覆盖率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党史学习教育活动覆盖率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老干部慰问覆盖率</w:t>
      </w:r>
      <w:r>
        <w:rPr>
          <w:rFonts w:hint="eastAsia"/>
          <w:lang w:val="en-US" w:eastAsia="zh-CN"/>
        </w:rPr>
        <w:t>”计划完成率100%，实际完成率100%，</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p>
    <w:p>
      <w:pPr>
        <w:ind w:firstLine="640"/>
        <w:rPr>
          <w:highlight w:val="none"/>
        </w:rPr>
      </w:pPr>
      <w:r>
        <w:rPr>
          <w:rFonts w:hint="eastAsia"/>
          <w:highlight w:val="none"/>
        </w:rPr>
        <w:t>综上所述，根据评分标准，</w:t>
      </w:r>
      <w:r>
        <w:rPr>
          <w:rFonts w:hint="eastAsia"/>
          <w:highlight w:val="none"/>
          <w:lang w:val="en-US" w:eastAsia="zh-CN"/>
        </w:rPr>
        <w:t>质量</w:t>
      </w:r>
      <w:r>
        <w:rPr>
          <w:rFonts w:hint="eastAsia"/>
          <w:highlight w:val="none"/>
        </w:rPr>
        <w:t>指标实际得</w:t>
      </w:r>
      <w:r>
        <w:rPr>
          <w:rFonts w:hint="eastAsia"/>
          <w:highlight w:val="none"/>
          <w:lang w:val="en-US" w:eastAsia="zh-CN"/>
        </w:rPr>
        <w:t>14</w:t>
      </w:r>
      <w:r>
        <w:rPr>
          <w:highlight w:val="none"/>
        </w:rPr>
        <w:t>分。</w:t>
      </w:r>
    </w:p>
    <w:p>
      <w:pPr>
        <w:numPr>
          <w:ilvl w:val="0"/>
          <w:numId w:val="2"/>
        </w:numPr>
        <w:ind w:firstLine="640"/>
        <w:rPr>
          <w:highlight w:val="none"/>
        </w:rPr>
      </w:pPr>
      <w:r>
        <w:rPr>
          <w:rFonts w:hint="eastAsia"/>
          <w:highlight w:val="none"/>
        </w:rPr>
        <w:t>时效指标</w:t>
      </w:r>
    </w:p>
    <w:p>
      <w:pPr>
        <w:ind w:firstLine="640"/>
        <w:rPr>
          <w:highlight w:val="none"/>
        </w:rPr>
      </w:pPr>
      <w:r>
        <w:rPr>
          <w:rFonts w:hint="eastAsia"/>
          <w:highlight w:val="none"/>
          <w:lang w:val="en-US" w:eastAsia="zh-CN"/>
        </w:rPr>
        <w:t>“时效指标”下设六个三级指标“三下乡及时性”、“调研及时性”、“召开会议及时性”、“社会服务公益活动及时性”、“党史学习教育活动及时性”、“老干部慰问及时性”。</w:t>
      </w:r>
    </w:p>
    <w:p>
      <w:pPr>
        <w:ind w:firstLine="640"/>
        <w:rPr>
          <w:rFonts w:hint="default"/>
          <w:highlight w:val="none"/>
          <w:lang w:val="en-US" w:eastAsia="zh-CN"/>
        </w:rPr>
      </w:pPr>
      <w:r>
        <w:rPr>
          <w:rFonts w:hint="eastAsia"/>
          <w:lang w:val="en-US" w:eastAsia="zh-CN"/>
        </w:rPr>
        <w:t>“</w:t>
      </w:r>
      <w:r>
        <w:rPr>
          <w:rFonts w:hint="eastAsia"/>
          <w:highlight w:val="none"/>
          <w:lang w:val="en-US" w:eastAsia="zh-CN"/>
        </w:rPr>
        <w:t>三下乡及时性</w:t>
      </w:r>
      <w:r>
        <w:rPr>
          <w:rFonts w:hint="eastAsia"/>
          <w:lang w:val="en-US" w:eastAsia="zh-CN"/>
        </w:rPr>
        <w:t>”按要求及时完成，</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调研及时性</w:t>
      </w:r>
      <w:r>
        <w:rPr>
          <w:rFonts w:hint="eastAsia"/>
          <w:lang w:val="en-US" w:eastAsia="zh-CN"/>
        </w:rPr>
        <w:t>”按要求及时完成，</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召开会议及时性</w:t>
      </w:r>
      <w:r>
        <w:rPr>
          <w:rFonts w:hint="eastAsia"/>
          <w:lang w:val="en-US" w:eastAsia="zh-CN"/>
        </w:rPr>
        <w:t>”按要求及时完成，</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社会服务公益活动及时性</w:t>
      </w:r>
      <w:r>
        <w:rPr>
          <w:rFonts w:hint="eastAsia"/>
          <w:lang w:val="en-US" w:eastAsia="zh-CN"/>
        </w:rPr>
        <w:t>”按要求及时完成，</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党史学习教育活动及时性</w:t>
      </w:r>
      <w:r>
        <w:rPr>
          <w:rFonts w:hint="eastAsia"/>
          <w:lang w:val="en-US" w:eastAsia="zh-CN"/>
        </w:rPr>
        <w:t>”按要求及时完成，</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lang w:val="en-US" w:eastAsia="zh-CN"/>
        </w:rPr>
        <w:t>“</w:t>
      </w:r>
      <w:r>
        <w:rPr>
          <w:rFonts w:hint="eastAsia"/>
          <w:highlight w:val="none"/>
          <w:lang w:val="en-US" w:eastAsia="zh-CN"/>
        </w:rPr>
        <w:t>老干部慰问及时性</w:t>
      </w:r>
      <w:r>
        <w:rPr>
          <w:rFonts w:hint="eastAsia"/>
          <w:lang w:val="en-US" w:eastAsia="zh-CN"/>
        </w:rPr>
        <w:t>”按要求及时完成，</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ind w:firstLine="640" w:firstLineChars="200"/>
        <w:textAlignment w:val="auto"/>
        <w:rPr>
          <w:highlight w:val="none"/>
        </w:rPr>
      </w:pPr>
      <w:r>
        <w:rPr>
          <w:rFonts w:hint="eastAsia"/>
          <w:highlight w:val="none"/>
        </w:rPr>
        <w:t>综上所述，根据评分标准，</w:t>
      </w:r>
      <w:r>
        <w:rPr>
          <w:rFonts w:hint="eastAsia"/>
          <w:highlight w:val="none"/>
          <w:lang w:val="en-US" w:eastAsia="zh-CN"/>
        </w:rPr>
        <w:t>时效</w:t>
      </w:r>
      <w:r>
        <w:rPr>
          <w:rFonts w:hint="eastAsia"/>
          <w:highlight w:val="none"/>
        </w:rPr>
        <w:t>指标实际得</w:t>
      </w:r>
      <w:r>
        <w:rPr>
          <w:rFonts w:hint="eastAsia"/>
          <w:highlight w:val="none"/>
          <w:lang w:val="en-US" w:eastAsia="zh-CN"/>
        </w:rPr>
        <w:t>12</w:t>
      </w:r>
      <w:r>
        <w:rPr>
          <w:highlight w:val="none"/>
        </w:rPr>
        <w:t>分。</w:t>
      </w:r>
    </w:p>
    <w:p>
      <w:pPr>
        <w:keepNext w:val="0"/>
        <w:keepLines w:val="0"/>
        <w:pageBreakBefore w:val="0"/>
        <w:widowControl w:val="0"/>
        <w:numPr>
          <w:ilvl w:val="0"/>
          <w:numId w:val="0"/>
        </w:numPr>
        <w:kinsoku/>
        <w:wordWrap/>
        <w:overflowPunct/>
        <w:topLinePunct w:val="0"/>
        <w:autoSpaceDE/>
        <w:autoSpaceDN/>
        <w:bidi w:val="0"/>
        <w:adjustRightInd w:val="0"/>
        <w:snapToGrid w:val="0"/>
        <w:ind w:firstLine="640" w:firstLineChars="200"/>
        <w:textAlignment w:val="auto"/>
        <w:rPr>
          <w:rFonts w:hint="eastAsia"/>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成本指标</w:t>
      </w:r>
    </w:p>
    <w:p>
      <w:pPr>
        <w:ind w:firstLine="640"/>
        <w:rPr>
          <w:rFonts w:hint="eastAsia"/>
          <w:highlight w:val="none"/>
          <w:lang w:val="en-US" w:eastAsia="zh-CN"/>
        </w:rPr>
      </w:pPr>
      <w:r>
        <w:rPr>
          <w:rFonts w:hint="eastAsia"/>
          <w:highlight w:val="none"/>
          <w:lang w:val="en-US" w:eastAsia="zh-CN"/>
        </w:rPr>
        <w:t>“成本指标”下设五个三级指标“民盟项目经费”、“九三学社项目经费”、“农工党项目经费”、“民进项目经费”、“民建项目经费”。</w:t>
      </w:r>
    </w:p>
    <w:p>
      <w:pPr>
        <w:ind w:firstLine="640"/>
        <w:rPr>
          <w:rFonts w:hint="default"/>
          <w:highlight w:val="none"/>
          <w:lang w:val="en-US" w:eastAsia="zh-CN"/>
        </w:rPr>
      </w:pPr>
      <w:r>
        <w:rPr>
          <w:rFonts w:hint="eastAsia"/>
          <w:highlight w:val="none"/>
          <w:lang w:val="en-US" w:eastAsia="zh-CN"/>
        </w:rPr>
        <w:t>依据项目实施情况，“民盟项目经费”计划成本11万元，实际支出11万元</w:t>
      </w:r>
      <w:r>
        <w:rPr>
          <w:rFonts w:hint="eastAsia"/>
          <w:lang w:val="en-US" w:eastAsia="zh-CN"/>
        </w:rPr>
        <w:t>，</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val="en-US" w:eastAsia="zh-CN"/>
        </w:rPr>
        <w:t>；“九三学社项目经费”计划成本11万元，实际支出11万元</w:t>
      </w:r>
      <w:r>
        <w:rPr>
          <w:rFonts w:hint="eastAsia"/>
          <w:lang w:val="en-US" w:eastAsia="zh-CN"/>
        </w:rPr>
        <w:t>，</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val="en-US" w:eastAsia="zh-CN"/>
        </w:rPr>
        <w:t>；“农工党项目经费”计划成本11万元，实际支出11万元</w:t>
      </w:r>
      <w:r>
        <w:rPr>
          <w:rFonts w:hint="eastAsia"/>
          <w:lang w:val="en-US" w:eastAsia="zh-CN"/>
        </w:rPr>
        <w:t>，</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val="en-US" w:eastAsia="zh-CN"/>
        </w:rPr>
        <w:t>；“民进项目经费”计划成本6万元，实际支出6万元</w:t>
      </w:r>
      <w:r>
        <w:rPr>
          <w:rFonts w:hint="eastAsia"/>
          <w:lang w:val="en-US" w:eastAsia="zh-CN"/>
        </w:rPr>
        <w:t>，</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eastAsia="zh-CN"/>
        </w:rPr>
        <w:t>；</w:t>
      </w:r>
      <w:r>
        <w:rPr>
          <w:rFonts w:hint="eastAsia"/>
          <w:highlight w:val="none"/>
          <w:lang w:val="en-US" w:eastAsia="zh-CN"/>
        </w:rPr>
        <w:t>“民建项目经费”计划成本11万元，实际支出11万元</w:t>
      </w:r>
      <w:r>
        <w:rPr>
          <w:rFonts w:hint="eastAsia"/>
          <w:lang w:val="en-US" w:eastAsia="zh-CN"/>
        </w:rPr>
        <w:t>，</w:t>
      </w:r>
      <w:r>
        <w:rPr>
          <w:rFonts w:hint="eastAsia"/>
          <w:highlight w:val="none"/>
        </w:rPr>
        <w:t>因此该项指标标准分值</w:t>
      </w:r>
      <w:r>
        <w:rPr>
          <w:rFonts w:hint="eastAsia"/>
          <w:highlight w:val="none"/>
          <w:lang w:val="en-US" w:eastAsia="zh-CN"/>
        </w:rPr>
        <w:t>2</w:t>
      </w:r>
      <w:r>
        <w:rPr>
          <w:rFonts w:hint="eastAsia"/>
          <w:highlight w:val="none"/>
        </w:rPr>
        <w:t>分，得</w:t>
      </w:r>
      <w:r>
        <w:rPr>
          <w:rFonts w:hint="eastAsia"/>
          <w:highlight w:val="none"/>
          <w:lang w:val="en-US" w:eastAsia="zh-CN"/>
        </w:rPr>
        <w:t>2</w:t>
      </w:r>
      <w:r>
        <w:rPr>
          <w:rFonts w:hint="eastAsia"/>
          <w:highlight w:val="none"/>
        </w:rPr>
        <w:t>分</w:t>
      </w:r>
      <w:r>
        <w:rPr>
          <w:rFonts w:hint="eastAsia"/>
          <w:highlight w:val="none"/>
          <w:lang w:val="en-US" w:eastAsia="zh-CN"/>
        </w:rPr>
        <w:t>。</w:t>
      </w:r>
    </w:p>
    <w:p>
      <w:pPr>
        <w:ind w:firstLine="640"/>
      </w:pPr>
      <w:r>
        <w:rPr>
          <w:rFonts w:hint="eastAsia"/>
          <w:highlight w:val="none"/>
        </w:rPr>
        <w:t>综上所述，根据评分标准，</w:t>
      </w:r>
      <w:r>
        <w:rPr>
          <w:rFonts w:hint="eastAsia"/>
          <w:highlight w:val="none"/>
          <w:lang w:val="en-US" w:eastAsia="zh-CN"/>
        </w:rPr>
        <w:t>成本</w:t>
      </w:r>
      <w:r>
        <w:rPr>
          <w:rFonts w:hint="eastAsia"/>
          <w:highlight w:val="none"/>
        </w:rPr>
        <w:t>指标实际得</w:t>
      </w:r>
      <w:r>
        <w:rPr>
          <w:rFonts w:hint="eastAsia"/>
          <w:highlight w:val="none"/>
          <w:lang w:val="en-US" w:eastAsia="zh-CN"/>
        </w:rPr>
        <w:t>10</w:t>
      </w:r>
      <w:r>
        <w:rPr>
          <w:highlight w:val="none"/>
        </w:rPr>
        <w:t>分。</w:t>
      </w:r>
    </w:p>
    <w:p>
      <w:pPr>
        <w:pStyle w:val="6"/>
        <w:ind w:firstLine="643"/>
      </w:pPr>
      <w:bookmarkStart w:id="50" w:name="_Toc79333448"/>
      <w:r>
        <w:t>3、效益指标分析</w:t>
      </w:r>
      <w:bookmarkEnd w:id="50"/>
    </w:p>
    <w:p>
      <w:pPr>
        <w:ind w:firstLine="640"/>
        <w:rPr>
          <w:rFonts w:hint="eastAsia"/>
          <w:highlight w:val="none"/>
          <w:lang w:eastAsia="zh-CN"/>
        </w:rPr>
      </w:pPr>
      <w:r>
        <w:rPr>
          <w:rFonts w:hint="eastAsia"/>
          <w:highlight w:val="none"/>
        </w:rPr>
        <w:t>“效益指标”下设</w:t>
      </w:r>
      <w:r>
        <w:rPr>
          <w:rFonts w:hint="eastAsia"/>
          <w:highlight w:val="none"/>
          <w:lang w:val="en-US" w:eastAsia="zh-CN"/>
        </w:rPr>
        <w:t>三</w:t>
      </w:r>
      <w:r>
        <w:rPr>
          <w:rFonts w:hint="eastAsia"/>
          <w:highlight w:val="none"/>
        </w:rPr>
        <w:t>个二级指标为</w:t>
      </w:r>
      <w:r>
        <w:rPr>
          <w:rFonts w:hint="eastAsia"/>
          <w:highlight w:val="none"/>
          <w:lang w:eastAsia="zh-CN"/>
        </w:rPr>
        <w:t>“</w:t>
      </w:r>
      <w:r>
        <w:rPr>
          <w:rFonts w:hint="eastAsia"/>
          <w:highlight w:val="none"/>
          <w:lang w:val="en-US" w:eastAsia="zh-CN"/>
        </w:rPr>
        <w:t>经济效益指标</w:t>
      </w:r>
      <w:r>
        <w:rPr>
          <w:rFonts w:hint="eastAsia"/>
          <w:highlight w:val="none"/>
          <w:lang w:eastAsia="zh-CN"/>
        </w:rPr>
        <w:t>”、</w:t>
      </w:r>
      <w:r>
        <w:rPr>
          <w:rFonts w:hint="eastAsia"/>
          <w:highlight w:val="none"/>
        </w:rPr>
        <w:t>“社会效益</w:t>
      </w:r>
      <w:r>
        <w:rPr>
          <w:rFonts w:hint="eastAsia"/>
          <w:highlight w:val="none"/>
          <w:lang w:val="en-US" w:eastAsia="zh-CN"/>
        </w:rPr>
        <w:t>指标</w:t>
      </w:r>
      <w:r>
        <w:rPr>
          <w:rFonts w:hint="eastAsia"/>
          <w:highlight w:val="none"/>
        </w:rPr>
        <w:t>”</w:t>
      </w:r>
      <w:r>
        <w:rPr>
          <w:rFonts w:hint="eastAsia"/>
          <w:highlight w:val="none"/>
          <w:lang w:eastAsia="zh-CN"/>
        </w:rPr>
        <w:t>、</w:t>
      </w:r>
      <w:r>
        <w:rPr>
          <w:rFonts w:hint="eastAsia"/>
          <w:highlight w:val="none"/>
          <w:lang w:val="en-US" w:eastAsia="zh-CN"/>
        </w:rPr>
        <w:t>“可持续影响指标”</w:t>
      </w:r>
      <w:r>
        <w:rPr>
          <w:rFonts w:hint="eastAsia"/>
          <w:highlight w:val="none"/>
          <w:lang w:eastAsia="zh-CN"/>
        </w:rPr>
        <w:t>。</w:t>
      </w:r>
    </w:p>
    <w:p>
      <w:pPr>
        <w:numPr>
          <w:ilvl w:val="0"/>
          <w:numId w:val="3"/>
        </w:numPr>
        <w:ind w:firstLine="640"/>
        <w:rPr>
          <w:rFonts w:hint="eastAsia"/>
          <w:highlight w:val="none"/>
          <w:lang w:val="en-US" w:eastAsia="zh-CN"/>
        </w:rPr>
      </w:pPr>
      <w:r>
        <w:rPr>
          <w:rFonts w:hint="eastAsia"/>
          <w:highlight w:val="none"/>
          <w:lang w:val="en-US" w:eastAsia="zh-CN"/>
        </w:rPr>
        <w:t>经济效益指标</w:t>
      </w:r>
    </w:p>
    <w:p>
      <w:pPr>
        <w:ind w:firstLine="640"/>
        <w:rPr>
          <w:rFonts w:hint="eastAsia"/>
          <w:highlight w:val="none"/>
        </w:rPr>
      </w:pPr>
      <w:r>
        <w:rPr>
          <w:rFonts w:hint="eastAsia"/>
          <w:highlight w:val="none"/>
        </w:rPr>
        <w:t>“</w:t>
      </w:r>
      <w:r>
        <w:rPr>
          <w:rFonts w:hint="eastAsia"/>
          <w:highlight w:val="none"/>
          <w:lang w:val="en-US" w:eastAsia="zh-CN"/>
        </w:rPr>
        <w:t>经济</w:t>
      </w:r>
      <w:r>
        <w:rPr>
          <w:rFonts w:hint="eastAsia"/>
          <w:highlight w:val="none"/>
        </w:rPr>
        <w:t>效益</w:t>
      </w:r>
      <w:r>
        <w:rPr>
          <w:rFonts w:hint="eastAsia"/>
          <w:highlight w:val="none"/>
          <w:lang w:val="en-US" w:eastAsia="zh-CN"/>
        </w:rPr>
        <w:t>指标</w:t>
      </w:r>
      <w:r>
        <w:rPr>
          <w:rFonts w:hint="eastAsia"/>
          <w:highlight w:val="none"/>
        </w:rPr>
        <w:t>”下设三级指标“</w:t>
      </w:r>
      <w:r>
        <w:rPr>
          <w:rFonts w:hint="eastAsia"/>
          <w:highlight w:val="none"/>
          <w:lang w:val="en-US" w:eastAsia="zh-CN"/>
        </w:rPr>
        <w:t>提供合理意见，促进三门峡经济发展</w:t>
      </w:r>
      <w:r>
        <w:rPr>
          <w:rFonts w:hint="eastAsia"/>
          <w:highlight w:val="none"/>
        </w:rPr>
        <w:t>”。</w:t>
      </w:r>
    </w:p>
    <w:p>
      <w:pPr>
        <w:ind w:firstLine="640"/>
        <w:rPr>
          <w:rFonts w:hint="eastAsia"/>
          <w:highlight w:val="none"/>
        </w:rPr>
      </w:pPr>
      <w:r>
        <w:rPr>
          <w:rFonts w:hint="eastAsia"/>
          <w:highlight w:val="none"/>
          <w:lang w:val="en-US" w:eastAsia="zh-CN"/>
        </w:rPr>
        <w:t>本项目实施有利于</w:t>
      </w:r>
      <w:r>
        <w:rPr>
          <w:rFonts w:hint="default"/>
          <w:lang w:val="en-US" w:eastAsia="zh-CN"/>
        </w:rPr>
        <w:t>助推三门峡经济社会高质量发展</w:t>
      </w:r>
      <w:r>
        <w:rPr>
          <w:rFonts w:hint="eastAsia"/>
          <w:lang w:val="en-US" w:eastAsia="zh-CN"/>
        </w:rPr>
        <w:t>，</w:t>
      </w:r>
      <w:r>
        <w:rPr>
          <w:rFonts w:hint="eastAsia"/>
          <w:highlight w:val="none"/>
        </w:rPr>
        <w:t>该指标标准分值为</w:t>
      </w:r>
      <w:r>
        <w:rPr>
          <w:rFonts w:hint="eastAsia"/>
          <w:highlight w:val="none"/>
          <w:lang w:val="en-US" w:eastAsia="zh-CN"/>
        </w:rPr>
        <w:t>6</w:t>
      </w:r>
      <w:r>
        <w:rPr>
          <w:rFonts w:hint="eastAsia"/>
          <w:highlight w:val="none"/>
        </w:rPr>
        <w:t>分，实际综合得分为</w:t>
      </w:r>
      <w:r>
        <w:rPr>
          <w:rFonts w:hint="eastAsia"/>
          <w:highlight w:val="none"/>
          <w:lang w:val="en-US" w:eastAsia="zh-CN"/>
        </w:rPr>
        <w:t>6</w:t>
      </w:r>
      <w:r>
        <w:rPr>
          <w:rFonts w:hint="eastAsia"/>
          <w:highlight w:val="none"/>
        </w:rPr>
        <w:t>分。</w:t>
      </w:r>
    </w:p>
    <w:p>
      <w:pPr>
        <w:ind w:firstLine="640"/>
        <w:rPr>
          <w:rFonts w:hint="eastAsia" w:eastAsia="仿宋"/>
          <w:lang w:val="en-US" w:eastAsia="zh-CN"/>
        </w:rPr>
      </w:pPr>
      <w:r>
        <w:rPr>
          <w:rFonts w:hint="eastAsia"/>
        </w:rPr>
        <w:t>（</w:t>
      </w:r>
      <w:r>
        <w:t>1</w:t>
      </w:r>
      <w:r>
        <w:rPr>
          <w:rFonts w:hint="eastAsia"/>
        </w:rPr>
        <w:t>）社会效益</w:t>
      </w:r>
      <w:r>
        <w:rPr>
          <w:rFonts w:hint="eastAsia"/>
          <w:lang w:val="en-US" w:eastAsia="zh-CN"/>
        </w:rPr>
        <w:t>指标</w:t>
      </w:r>
    </w:p>
    <w:p>
      <w:pPr>
        <w:ind w:firstLine="640"/>
        <w:rPr>
          <w:highlight w:val="none"/>
        </w:rPr>
      </w:pPr>
      <w:r>
        <w:rPr>
          <w:rFonts w:hint="eastAsia"/>
          <w:highlight w:val="none"/>
        </w:rPr>
        <w:t>“社会效益</w:t>
      </w:r>
      <w:r>
        <w:rPr>
          <w:rFonts w:hint="eastAsia"/>
          <w:highlight w:val="none"/>
          <w:lang w:val="en-US" w:eastAsia="zh-CN"/>
        </w:rPr>
        <w:t>指标</w:t>
      </w:r>
      <w:r>
        <w:rPr>
          <w:rFonts w:hint="eastAsia"/>
          <w:highlight w:val="none"/>
        </w:rPr>
        <w:t>”下设三级指标“</w:t>
      </w:r>
      <w:r>
        <w:rPr>
          <w:rFonts w:hint="eastAsia"/>
          <w:highlight w:val="none"/>
          <w:lang w:val="en-US" w:eastAsia="zh-CN"/>
        </w:rPr>
        <w:t>增强参政议政的能力，提升凝聚力</w:t>
      </w:r>
      <w:r>
        <w:rPr>
          <w:rFonts w:hint="eastAsia"/>
          <w:highlight w:val="none"/>
        </w:rPr>
        <w:t>”</w:t>
      </w:r>
      <w:r>
        <w:rPr>
          <w:rFonts w:hint="eastAsia"/>
          <w:highlight w:val="none"/>
          <w:lang w:eastAsia="zh-CN"/>
        </w:rPr>
        <w:t>、“为三门峡市高质量发展，建设新的省域中心城市，做出更大贡献”、“丰富市民疾病预防保健知识”</w:t>
      </w:r>
      <w:r>
        <w:rPr>
          <w:rFonts w:hint="eastAsia"/>
          <w:highlight w:val="none"/>
        </w:rPr>
        <w:t>。</w:t>
      </w:r>
    </w:p>
    <w:p>
      <w:pPr>
        <w:ind w:firstLine="640"/>
        <w:rPr>
          <w:rFonts w:hint="eastAsia"/>
          <w:highlight w:val="none"/>
        </w:rPr>
      </w:pPr>
      <w:r>
        <w:rPr>
          <w:rFonts w:hint="eastAsia" w:cstheme="minorBidi"/>
          <w:kern w:val="2"/>
          <w:sz w:val="32"/>
          <w:szCs w:val="32"/>
          <w:highlight w:val="none"/>
          <w:lang w:val="en-US" w:eastAsia="zh-CN" w:bidi="ar-SA"/>
        </w:rPr>
        <w:t>本项目实施，</w:t>
      </w:r>
      <w:r>
        <w:rPr>
          <w:rFonts w:hint="eastAsia"/>
          <w:highlight w:val="none"/>
          <w:lang w:val="en-US" w:eastAsia="zh-CN"/>
        </w:rPr>
        <w:t>增强了各民主党派参政议政的能力，提升了凝聚力，</w:t>
      </w:r>
      <w:r>
        <w:rPr>
          <w:rFonts w:hint="eastAsia"/>
          <w:highlight w:val="none"/>
        </w:rPr>
        <w:t>该指标标准分值为</w:t>
      </w:r>
      <w:r>
        <w:rPr>
          <w:rFonts w:hint="eastAsia"/>
          <w:highlight w:val="none"/>
          <w:lang w:val="en-US" w:eastAsia="zh-CN"/>
        </w:rPr>
        <w:t>6</w:t>
      </w:r>
      <w:r>
        <w:rPr>
          <w:rFonts w:hint="eastAsia"/>
          <w:highlight w:val="none"/>
        </w:rPr>
        <w:t>分，实际综合得分为</w:t>
      </w:r>
      <w:r>
        <w:rPr>
          <w:rFonts w:hint="eastAsia"/>
          <w:highlight w:val="none"/>
          <w:lang w:val="en-US" w:eastAsia="zh-CN"/>
        </w:rPr>
        <w:t>6</w:t>
      </w:r>
      <w:r>
        <w:rPr>
          <w:rFonts w:hint="eastAsia"/>
          <w:highlight w:val="none"/>
        </w:rPr>
        <w:t>分。</w:t>
      </w:r>
    </w:p>
    <w:p>
      <w:pPr>
        <w:ind w:firstLine="640"/>
        <w:rPr>
          <w:rFonts w:hint="eastAsia"/>
          <w:highlight w:val="none"/>
          <w:lang w:eastAsia="zh-CN"/>
        </w:rPr>
      </w:pPr>
      <w:r>
        <w:rPr>
          <w:rFonts w:hint="eastAsia" w:cstheme="minorBidi"/>
          <w:kern w:val="2"/>
          <w:sz w:val="32"/>
          <w:szCs w:val="32"/>
          <w:highlight w:val="none"/>
          <w:lang w:val="en-US" w:eastAsia="zh-CN" w:bidi="ar-SA"/>
        </w:rPr>
        <w:t>本项目实施，</w:t>
      </w:r>
      <w:r>
        <w:rPr>
          <w:rFonts w:hint="eastAsia"/>
          <w:highlight w:val="none"/>
          <w:lang w:val="en-US" w:eastAsia="zh-CN"/>
        </w:rPr>
        <w:t>为三门峡市高质量发展，建设新的省域中心城市，做出更大贡献，</w:t>
      </w:r>
      <w:r>
        <w:rPr>
          <w:rFonts w:hint="eastAsia"/>
          <w:highlight w:val="none"/>
        </w:rPr>
        <w:t>该指标标准分值为</w:t>
      </w:r>
      <w:r>
        <w:rPr>
          <w:rFonts w:hint="eastAsia"/>
          <w:highlight w:val="none"/>
          <w:lang w:val="en-US" w:eastAsia="zh-CN"/>
        </w:rPr>
        <w:t>6</w:t>
      </w:r>
      <w:r>
        <w:rPr>
          <w:rFonts w:hint="eastAsia"/>
          <w:highlight w:val="none"/>
        </w:rPr>
        <w:t>分，实际综合得分为</w:t>
      </w:r>
      <w:r>
        <w:rPr>
          <w:rFonts w:hint="eastAsia"/>
          <w:highlight w:val="none"/>
          <w:lang w:val="en-US" w:eastAsia="zh-CN"/>
        </w:rPr>
        <w:t>6</w:t>
      </w:r>
      <w:r>
        <w:rPr>
          <w:rFonts w:hint="eastAsia"/>
          <w:highlight w:val="none"/>
        </w:rPr>
        <w:t>分</w:t>
      </w:r>
      <w:r>
        <w:rPr>
          <w:rFonts w:hint="eastAsia"/>
          <w:highlight w:val="none"/>
          <w:lang w:eastAsia="zh-CN"/>
        </w:rPr>
        <w:t>。</w:t>
      </w:r>
    </w:p>
    <w:p>
      <w:pPr>
        <w:ind w:firstLine="640"/>
      </w:pPr>
      <w:r>
        <w:rPr>
          <w:rFonts w:hint="eastAsia" w:cstheme="minorBidi"/>
          <w:kern w:val="2"/>
          <w:sz w:val="32"/>
          <w:szCs w:val="32"/>
          <w:highlight w:val="none"/>
          <w:lang w:val="en-US" w:eastAsia="zh-CN" w:bidi="ar-SA"/>
        </w:rPr>
        <w:t>本项目实施，</w:t>
      </w:r>
      <w:r>
        <w:rPr>
          <w:rFonts w:hint="eastAsia"/>
          <w:highlight w:val="none"/>
          <w:lang w:val="en-US" w:eastAsia="zh-CN"/>
        </w:rPr>
        <w:t>丰富市民疾病预防保健知识，但是覆盖群体较少，</w:t>
      </w:r>
      <w:r>
        <w:rPr>
          <w:rFonts w:hint="eastAsia"/>
          <w:highlight w:val="none"/>
        </w:rPr>
        <w:t>该指标标准分值为</w:t>
      </w:r>
      <w:r>
        <w:rPr>
          <w:rFonts w:hint="eastAsia"/>
          <w:highlight w:val="none"/>
          <w:lang w:val="en-US" w:eastAsia="zh-CN"/>
        </w:rPr>
        <w:t>6</w:t>
      </w:r>
      <w:r>
        <w:rPr>
          <w:rFonts w:hint="eastAsia"/>
          <w:highlight w:val="none"/>
        </w:rPr>
        <w:t>分，实际综合得分为</w:t>
      </w:r>
      <w:r>
        <w:rPr>
          <w:rFonts w:hint="eastAsia"/>
          <w:highlight w:val="none"/>
          <w:lang w:val="en-US" w:eastAsia="zh-CN"/>
        </w:rPr>
        <w:t>4</w:t>
      </w:r>
      <w:r>
        <w:rPr>
          <w:rFonts w:hint="eastAsia"/>
          <w:highlight w:val="none"/>
        </w:rPr>
        <w:t>分。</w:t>
      </w:r>
    </w:p>
    <w:p>
      <w:pPr>
        <w:ind w:firstLine="640"/>
        <w:rPr>
          <w:rFonts w:hint="eastAsia" w:eastAsia="仿宋"/>
          <w:lang w:val="en-US" w:eastAsia="zh-CN"/>
        </w:rPr>
      </w:pPr>
      <w:r>
        <w:rPr>
          <w:rFonts w:hint="eastAsia"/>
        </w:rPr>
        <w:t>（</w:t>
      </w:r>
      <w:r>
        <w:rPr>
          <w:rFonts w:hint="eastAsia"/>
          <w:lang w:val="en-US" w:eastAsia="zh-CN"/>
        </w:rPr>
        <w:t>2</w:t>
      </w:r>
      <w:r>
        <w:rPr>
          <w:rFonts w:hint="eastAsia"/>
        </w:rPr>
        <w:t>）</w:t>
      </w:r>
      <w:r>
        <w:rPr>
          <w:rFonts w:hint="eastAsia"/>
          <w:highlight w:val="none"/>
          <w:lang w:val="en-US" w:eastAsia="zh-CN"/>
        </w:rPr>
        <w:t>可持续影响指标</w:t>
      </w:r>
    </w:p>
    <w:p>
      <w:pPr>
        <w:ind w:firstLine="640"/>
        <w:rPr>
          <w:highlight w:val="none"/>
        </w:rPr>
      </w:pPr>
      <w:r>
        <w:rPr>
          <w:rFonts w:hint="eastAsia"/>
          <w:highlight w:val="none"/>
        </w:rPr>
        <w:t>“</w:t>
      </w:r>
      <w:r>
        <w:rPr>
          <w:rFonts w:hint="eastAsia"/>
          <w:highlight w:val="none"/>
          <w:lang w:val="en-US" w:eastAsia="zh-CN"/>
        </w:rPr>
        <w:t>可持续影响指标</w:t>
      </w:r>
      <w:r>
        <w:rPr>
          <w:rFonts w:hint="eastAsia"/>
          <w:highlight w:val="none"/>
        </w:rPr>
        <w:t>”下设三级指标“</w:t>
      </w:r>
      <w:r>
        <w:rPr>
          <w:rFonts w:hint="eastAsia"/>
          <w:highlight w:val="none"/>
          <w:lang w:val="en-US" w:eastAsia="zh-CN"/>
        </w:rPr>
        <w:t>持续保持各民主党派参政议政，民主监督，服务社会</w:t>
      </w:r>
      <w:r>
        <w:rPr>
          <w:rFonts w:hint="eastAsia"/>
          <w:highlight w:val="none"/>
        </w:rPr>
        <w:t>”。</w:t>
      </w:r>
    </w:p>
    <w:p>
      <w:pPr>
        <w:ind w:firstLine="640"/>
        <w:rPr>
          <w:rFonts w:hint="eastAsia"/>
          <w:highlight w:val="none"/>
        </w:rPr>
      </w:pPr>
      <w:r>
        <w:rPr>
          <w:rFonts w:hint="eastAsia" w:ascii="仿宋" w:hAnsi="仿宋" w:eastAsia="仿宋" w:cstheme="minorBidi"/>
          <w:kern w:val="2"/>
          <w:sz w:val="32"/>
          <w:szCs w:val="32"/>
          <w:highlight w:val="none"/>
          <w:lang w:val="en-US" w:eastAsia="zh-CN" w:bidi="ar-SA"/>
        </w:rPr>
        <w:t>本项目的实施</w:t>
      </w:r>
      <w:r>
        <w:rPr>
          <w:rFonts w:hint="eastAsia" w:cstheme="minorBidi"/>
          <w:kern w:val="2"/>
          <w:sz w:val="32"/>
          <w:szCs w:val="32"/>
          <w:highlight w:val="none"/>
          <w:lang w:val="en-US" w:eastAsia="zh-CN" w:bidi="ar-SA"/>
        </w:rPr>
        <w:t>有利于</w:t>
      </w:r>
      <w:r>
        <w:rPr>
          <w:rFonts w:hint="eastAsia"/>
          <w:highlight w:val="none"/>
          <w:lang w:val="en-US" w:eastAsia="zh-CN"/>
        </w:rPr>
        <w:t>持续保持各民主党派参政议政，民主监督，服务社会</w:t>
      </w:r>
      <w:r>
        <w:rPr>
          <w:rFonts w:hint="eastAsia" w:ascii="仿宋" w:hAnsi="仿宋" w:eastAsia="仿宋" w:cstheme="minorBidi"/>
          <w:kern w:val="2"/>
          <w:sz w:val="32"/>
          <w:szCs w:val="32"/>
          <w:highlight w:val="none"/>
          <w:lang w:val="en-US" w:eastAsia="zh-CN" w:bidi="ar-SA"/>
        </w:rPr>
        <w:t>。</w:t>
      </w:r>
      <w:r>
        <w:rPr>
          <w:rFonts w:hint="eastAsia"/>
          <w:highlight w:val="none"/>
        </w:rPr>
        <w:t>该指标标准分值为</w:t>
      </w:r>
      <w:r>
        <w:rPr>
          <w:rFonts w:hint="eastAsia"/>
          <w:highlight w:val="none"/>
          <w:lang w:val="en-US" w:eastAsia="zh-CN"/>
        </w:rPr>
        <w:t>6</w:t>
      </w:r>
      <w:r>
        <w:rPr>
          <w:rFonts w:hint="eastAsia"/>
          <w:highlight w:val="none"/>
        </w:rPr>
        <w:t>分，实际综合得分为</w:t>
      </w:r>
      <w:r>
        <w:rPr>
          <w:rFonts w:hint="eastAsia"/>
          <w:highlight w:val="none"/>
          <w:lang w:val="en-US" w:eastAsia="zh-CN"/>
        </w:rPr>
        <w:t>6</w:t>
      </w:r>
      <w:r>
        <w:rPr>
          <w:rFonts w:hint="eastAsia"/>
          <w:highlight w:val="none"/>
        </w:rPr>
        <w:t>分。</w:t>
      </w:r>
    </w:p>
    <w:p>
      <w:pPr>
        <w:pStyle w:val="6"/>
        <w:ind w:firstLine="643"/>
        <w:rPr>
          <w:highlight w:val="none"/>
        </w:rPr>
      </w:pPr>
      <w:bookmarkStart w:id="51" w:name="_Toc79333449"/>
      <w:r>
        <w:rPr>
          <w:highlight w:val="none"/>
        </w:rPr>
        <w:t>4、满意度指标分析</w:t>
      </w:r>
      <w:bookmarkEnd w:id="51"/>
    </w:p>
    <w:p>
      <w:pPr>
        <w:ind w:firstLine="640"/>
        <w:rPr>
          <w:rFonts w:hint="eastAsia"/>
          <w:highlight w:val="none"/>
        </w:rPr>
      </w:pPr>
      <w:r>
        <w:rPr>
          <w:rFonts w:hint="eastAsia"/>
          <w:highlight w:val="none"/>
          <w:lang w:val="en-US" w:eastAsia="zh-CN"/>
        </w:rPr>
        <w:t>经调查，</w:t>
      </w:r>
      <w:r>
        <w:rPr>
          <w:rFonts w:hint="eastAsia"/>
          <w:highlight w:val="none"/>
        </w:rPr>
        <w:t>受益民主人士满意度</w:t>
      </w:r>
      <w:r>
        <w:rPr>
          <w:rFonts w:hint="eastAsia"/>
          <w:highlight w:val="none"/>
          <w:lang w:val="en-US" w:eastAsia="zh-CN"/>
        </w:rPr>
        <w:t>与</w:t>
      </w:r>
      <w:r>
        <w:rPr>
          <w:rFonts w:hint="eastAsia"/>
          <w:highlight w:val="none"/>
        </w:rPr>
        <w:t>受益群众满意度</w:t>
      </w:r>
      <w:r>
        <w:rPr>
          <w:rFonts w:hint="eastAsia"/>
          <w:highlight w:val="none"/>
          <w:lang w:val="en-US" w:eastAsia="zh-CN"/>
        </w:rPr>
        <w:t>均达到90%以上，</w:t>
      </w:r>
      <w:r>
        <w:rPr>
          <w:rFonts w:hint="eastAsia"/>
          <w:highlight w:val="none"/>
        </w:rPr>
        <w:t>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p>
    <w:p>
      <w:pPr>
        <w:pStyle w:val="4"/>
        <w:rPr>
          <w:highlight w:val="none"/>
        </w:rPr>
      </w:pPr>
      <w:bookmarkStart w:id="52" w:name="_Toc29824"/>
      <w:r>
        <w:rPr>
          <w:rFonts w:hint="eastAsia"/>
          <w:highlight w:val="none"/>
        </w:rPr>
        <w:t>四、成果和问题</w:t>
      </w:r>
      <w:bookmarkEnd w:id="48"/>
      <w:bookmarkEnd w:id="49"/>
      <w:bookmarkEnd w:id="52"/>
    </w:p>
    <w:p>
      <w:pPr>
        <w:pStyle w:val="5"/>
        <w:rPr>
          <w:highlight w:val="none"/>
        </w:rPr>
      </w:pPr>
      <w:bookmarkStart w:id="53" w:name="_Toc79333451"/>
      <w:bookmarkStart w:id="54" w:name="_Toc23768"/>
      <w:r>
        <w:rPr>
          <w:rFonts w:hint="eastAsia"/>
          <w:highlight w:val="none"/>
        </w:rPr>
        <w:t>（一）项目实施的成果</w:t>
      </w:r>
      <w:bookmarkEnd w:id="53"/>
      <w:bookmarkEnd w:id="54"/>
    </w:p>
    <w:p>
      <w:pPr>
        <w:ind w:firstLine="640"/>
        <w:rPr>
          <w:highlight w:val="none"/>
        </w:rPr>
      </w:pPr>
      <w:r>
        <w:rPr>
          <w:rFonts w:hint="eastAsia"/>
          <w:highlight w:val="none"/>
        </w:rPr>
        <w:t>不断推进自身建设，努力建设政治坚定、组织坚实、履职有力、作风优良、制度健全的中国特色社会主义参政党，做中国共产党的好参谋、好帮手、好同事；团结带领各级组织和广大成员</w:t>
      </w:r>
      <w:r>
        <w:rPr>
          <w:rFonts w:hint="eastAsia"/>
          <w:highlight w:val="none"/>
          <w:lang w:eastAsia="zh-CN"/>
        </w:rPr>
        <w:t>，</w:t>
      </w:r>
      <w:r>
        <w:rPr>
          <w:rFonts w:hint="eastAsia"/>
          <w:highlight w:val="none"/>
        </w:rPr>
        <w:t>广泛凝聚共识、凝聚智慧、凝聚人心、凝聚力量，以实际行动展现中国特色社会主义参政党的使命担当，为新时代社会主义现代化强</w:t>
      </w:r>
      <w:r>
        <w:rPr>
          <w:rFonts w:hint="eastAsia"/>
          <w:highlight w:val="none"/>
          <w:lang w:val="en-US" w:eastAsia="zh-CN"/>
        </w:rPr>
        <w:t>市</w:t>
      </w:r>
      <w:r>
        <w:rPr>
          <w:rFonts w:hint="eastAsia"/>
          <w:highlight w:val="none"/>
        </w:rPr>
        <w:t>建设作出新的更大贡献！</w:t>
      </w:r>
    </w:p>
    <w:p>
      <w:pPr>
        <w:pStyle w:val="5"/>
        <w:rPr>
          <w:highlight w:val="none"/>
        </w:rPr>
      </w:pPr>
      <w:bookmarkStart w:id="55" w:name="_Toc27293"/>
      <w:bookmarkStart w:id="56" w:name="_Toc79333452"/>
      <w:r>
        <w:rPr>
          <w:rFonts w:hint="eastAsia"/>
          <w:highlight w:val="none"/>
        </w:rPr>
        <w:t>（二）项目存在的问题</w:t>
      </w:r>
      <w:bookmarkEnd w:id="55"/>
      <w:bookmarkEnd w:id="56"/>
    </w:p>
    <w:p>
      <w:pPr>
        <w:ind w:firstLine="643"/>
        <w:rPr>
          <w:rFonts w:hint="default" w:eastAsia="仿宋"/>
          <w:b/>
          <w:highlight w:val="none"/>
          <w:lang w:val="en-US" w:eastAsia="zh-CN"/>
        </w:rPr>
      </w:pPr>
      <w:r>
        <w:rPr>
          <w:rFonts w:hint="eastAsia"/>
          <w:b/>
          <w:highlight w:val="none"/>
        </w:rPr>
        <w:t>1、</w:t>
      </w:r>
      <w:r>
        <w:rPr>
          <w:rFonts w:hint="eastAsia"/>
          <w:b/>
          <w:highlight w:val="none"/>
          <w:lang w:val="en-US" w:eastAsia="zh-CN"/>
        </w:rPr>
        <w:t>活动宣传力度小</w:t>
      </w:r>
    </w:p>
    <w:p>
      <w:pPr>
        <w:ind w:firstLine="640"/>
        <w:rPr>
          <w:rFonts w:hint="default" w:eastAsia="仿宋"/>
          <w:highlight w:val="none"/>
          <w:lang w:val="en-US" w:eastAsia="zh-CN"/>
        </w:rPr>
      </w:pPr>
      <w:r>
        <w:rPr>
          <w:rFonts w:hint="eastAsia"/>
          <w:highlight w:val="none"/>
        </w:rPr>
        <w:t>我单位在进行绩效自评工作时，发现</w:t>
      </w:r>
      <w:r>
        <w:rPr>
          <w:rFonts w:hint="eastAsia"/>
          <w:highlight w:val="none"/>
          <w:lang w:val="en-US" w:eastAsia="zh-CN"/>
        </w:rPr>
        <w:t>在进行</w:t>
      </w:r>
      <w:r>
        <w:rPr>
          <w:rFonts w:hint="eastAsia"/>
          <w:highlight w:val="none"/>
        </w:rPr>
        <w:t>丰富市民疾病预防保健知识</w:t>
      </w:r>
      <w:r>
        <w:rPr>
          <w:rFonts w:hint="eastAsia"/>
          <w:highlight w:val="none"/>
          <w:lang w:val="en-US" w:eastAsia="zh-CN"/>
        </w:rPr>
        <w:t>时覆盖群众不够多，宣传力度不大。</w:t>
      </w:r>
    </w:p>
    <w:p>
      <w:pPr>
        <w:ind w:firstLine="643"/>
        <w:rPr>
          <w:b/>
          <w:highlight w:val="none"/>
        </w:rPr>
      </w:pPr>
      <w:r>
        <w:rPr>
          <w:rFonts w:hint="eastAsia"/>
          <w:b/>
          <w:highlight w:val="none"/>
        </w:rPr>
        <w:t>2、绩效管理水平有待进一步提高</w:t>
      </w:r>
    </w:p>
    <w:p>
      <w:pPr>
        <w:ind w:firstLine="640"/>
        <w:rPr>
          <w:highlight w:val="none"/>
        </w:rPr>
      </w:pPr>
      <w:r>
        <w:rPr>
          <w:rFonts w:hint="eastAsia"/>
          <w:highlight w:val="none"/>
        </w:rPr>
        <w:t>我单位在进行绩效自评工作时，发现</w:t>
      </w:r>
      <w:r>
        <w:rPr>
          <w:rFonts w:hint="eastAsia"/>
          <w:highlight w:val="none"/>
          <w:lang w:val="en-US" w:eastAsia="zh-CN"/>
        </w:rPr>
        <w:t>时效指标设置不够全面，未设置培训方面的时效指标，</w:t>
      </w:r>
      <w:r>
        <w:rPr>
          <w:rFonts w:hint="eastAsia"/>
          <w:highlight w:val="none"/>
        </w:rPr>
        <w:t>自评结果不够准确。</w:t>
      </w:r>
    </w:p>
    <w:p>
      <w:pPr>
        <w:pStyle w:val="4"/>
        <w:rPr>
          <w:highlight w:val="none"/>
        </w:rPr>
      </w:pPr>
      <w:bookmarkStart w:id="57" w:name="_Toc27227"/>
      <w:bookmarkStart w:id="58" w:name="_Toc79333453"/>
      <w:bookmarkStart w:id="59" w:name="_Toc4756"/>
      <w:r>
        <w:rPr>
          <w:rFonts w:hint="eastAsia"/>
          <w:highlight w:val="none"/>
        </w:rPr>
        <w:t>五、建议</w:t>
      </w:r>
      <w:bookmarkEnd w:id="57"/>
      <w:bookmarkEnd w:id="58"/>
      <w:bookmarkEnd w:id="59"/>
    </w:p>
    <w:p>
      <w:pPr>
        <w:pStyle w:val="5"/>
        <w:rPr>
          <w:rFonts w:hint="default" w:eastAsia="楷体"/>
          <w:highlight w:val="none"/>
          <w:lang w:val="en-US" w:eastAsia="zh-CN"/>
        </w:rPr>
      </w:pPr>
      <w:bookmarkStart w:id="60" w:name="_Toc79333454"/>
      <w:bookmarkStart w:id="61" w:name="_Toc30154"/>
      <w:r>
        <w:rPr>
          <w:rFonts w:hint="eastAsia"/>
          <w:highlight w:val="none"/>
        </w:rPr>
        <w:t>（一）</w:t>
      </w:r>
      <w:bookmarkEnd w:id="60"/>
      <w:r>
        <w:rPr>
          <w:rFonts w:hint="eastAsia"/>
          <w:highlight w:val="none"/>
          <w:lang w:val="en-US" w:eastAsia="zh-CN"/>
        </w:rPr>
        <w:t>拓宽宣传渠道，加大宣传力度</w:t>
      </w:r>
      <w:bookmarkEnd w:id="61"/>
    </w:p>
    <w:p>
      <w:pPr>
        <w:ind w:firstLine="640"/>
        <w:rPr>
          <w:rFonts w:hint="default" w:eastAsia="仿宋"/>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我单位应</w:t>
      </w:r>
      <w:r>
        <w:rPr>
          <w:rFonts w:hint="eastAsia"/>
          <w:color w:val="000000" w:themeColor="text1"/>
          <w:highlight w:val="none"/>
          <w:lang w:val="en-US" w:eastAsia="zh-CN"/>
          <w14:textFill>
            <w14:solidFill>
              <w14:schemeClr w14:val="tx1"/>
            </w14:solidFill>
          </w14:textFill>
        </w:rPr>
        <w:t>采取更多线上线下多种宣传方式互通的宣传方式，提高群众覆盖率，丰富市民疾病预防保健知识。</w:t>
      </w:r>
    </w:p>
    <w:p>
      <w:pPr>
        <w:pStyle w:val="5"/>
        <w:rPr>
          <w:highlight w:val="none"/>
        </w:rPr>
      </w:pPr>
      <w:bookmarkStart w:id="62" w:name="_Toc79333455"/>
      <w:bookmarkStart w:id="63" w:name="_Toc3591"/>
      <w:r>
        <w:rPr>
          <w:rFonts w:hint="eastAsia"/>
          <w:highlight w:val="none"/>
        </w:rPr>
        <w:t>（二）加强学习培训，进一步提高绩效管理水平</w:t>
      </w:r>
      <w:bookmarkEnd w:id="62"/>
      <w:bookmarkEnd w:id="63"/>
    </w:p>
    <w:p>
      <w:pPr>
        <w:ind w:firstLine="640"/>
        <w:rPr>
          <w:highlight w:val="none"/>
        </w:rPr>
      </w:pPr>
      <w:r>
        <w:rPr>
          <w:rFonts w:hint="eastAsia"/>
          <w:highlight w:val="none"/>
        </w:rPr>
        <w:t>通过本次自评，为更好的开展以后绩效评价和项目管理工作，</w:t>
      </w:r>
      <w:r>
        <w:rPr>
          <w:rFonts w:hint="eastAsia"/>
          <w:highlight w:val="none"/>
          <w:lang w:val="en-US" w:eastAsia="zh-CN"/>
        </w:rPr>
        <w:t>组织开展</w:t>
      </w:r>
      <w:r>
        <w:rPr>
          <w:rFonts w:hint="eastAsia"/>
          <w:highlight w:val="none"/>
        </w:rPr>
        <w:t>绩效管理专题培训会议。</w:t>
      </w:r>
    </w:p>
    <w:p>
      <w:pPr>
        <w:pStyle w:val="4"/>
        <w:rPr>
          <w:highlight w:val="none"/>
        </w:rPr>
      </w:pPr>
      <w:bookmarkStart w:id="64" w:name="_Toc17955"/>
      <w:bookmarkStart w:id="65" w:name="_Toc79333457"/>
      <w:bookmarkStart w:id="66" w:name="_Toc665"/>
      <w:r>
        <w:rPr>
          <w:rFonts w:hint="eastAsia"/>
          <w:highlight w:val="none"/>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4"/>
      </w:pPr>
      <w:bookmarkStart w:id="67" w:name="_Toc2055"/>
      <w:bookmarkStart w:id="68" w:name="_Toc62030119"/>
      <w:bookmarkStart w:id="69" w:name="_Toc61882435"/>
      <w:bookmarkStart w:id="70" w:name="_Toc75871379"/>
      <w:bookmarkStart w:id="71" w:name="_Toc79333458"/>
      <w:r>
        <w:rPr>
          <w:rFonts w:hint="eastAsia"/>
        </w:rPr>
        <w:t>七、附件</w:t>
      </w:r>
      <w:bookmarkEnd w:id="67"/>
      <w:bookmarkEnd w:id="68"/>
      <w:bookmarkEnd w:id="69"/>
      <w:bookmarkEnd w:id="70"/>
      <w:bookmarkEnd w:id="71"/>
    </w:p>
    <w:p>
      <w:pPr>
        <w:ind w:firstLine="640"/>
      </w:pPr>
      <w:r>
        <w:rPr>
          <w:rFonts w:hint="eastAsia"/>
        </w:rPr>
        <w:t>附件一：项目绩效自评表</w:t>
      </w:r>
    </w:p>
    <w:p>
      <w:pPr>
        <w:ind w:firstLine="640"/>
      </w:pPr>
    </w:p>
    <w:p>
      <w:pPr>
        <w:ind w:firstLine="640"/>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0" w:num="1"/>
          <w:docGrid w:linePitch="312" w:charSpace="0"/>
        </w:sectPr>
      </w:pPr>
    </w:p>
    <w:p>
      <w:pPr>
        <w:pStyle w:val="5"/>
        <w:rPr>
          <w:rFonts w:hint="eastAsia"/>
        </w:rPr>
      </w:pPr>
      <w:bookmarkStart w:id="72" w:name="_Toc61882642"/>
      <w:bookmarkStart w:id="73" w:name="_Toc62030120"/>
      <w:bookmarkStart w:id="74" w:name="_Toc79333459"/>
      <w:bookmarkStart w:id="75" w:name="_Toc32169"/>
      <w:bookmarkStart w:id="76" w:name="_Toc75871380"/>
      <w:r>
        <w:rPr>
          <w:rFonts w:hint="eastAsia"/>
        </w:rPr>
        <w:t>附件一：项目绩效自评表</w:t>
      </w:r>
      <w:bookmarkEnd w:id="72"/>
      <w:bookmarkEnd w:id="73"/>
      <w:bookmarkEnd w:id="74"/>
      <w:bookmarkEnd w:id="75"/>
      <w:bookmarkEnd w:id="76"/>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94"/>
        <w:gridCol w:w="1167"/>
        <w:gridCol w:w="1378"/>
        <w:gridCol w:w="1304"/>
        <w:gridCol w:w="1310"/>
        <w:gridCol w:w="1483"/>
        <w:gridCol w:w="1480"/>
        <w:gridCol w:w="1259"/>
        <w:gridCol w:w="1477"/>
        <w:gridCol w:w="465"/>
        <w:gridCol w:w="14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000" w:type="pct"/>
            <w:gridSpan w:val="11"/>
            <w:tcBorders>
              <w:top w:val="nil"/>
              <w:left w:val="nil"/>
              <w:bottom w:val="nil"/>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5000" w:type="pct"/>
            <w:gridSpan w:val="11"/>
            <w:tcBorders>
              <w:top w:val="nil"/>
              <w:left w:val="nil"/>
              <w:bottom w:val="nil"/>
              <w:right w:val="nil"/>
            </w:tcBorders>
            <w:shd w:val="clear" w:color="auto" w:fill="auto"/>
            <w:noWrap/>
            <w:vAlign w:val="top"/>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5000" w:type="pct"/>
            <w:gridSpan w:val="11"/>
            <w:tcBorders>
              <w:top w:val="nil"/>
              <w:left w:val="nil"/>
              <w:bottom w:val="single" w:color="000000" w:sz="4" w:space="0"/>
              <w:right w:val="nil"/>
            </w:tcBorders>
            <w:shd w:val="clear" w:color="auto" w:fill="auto"/>
            <w:noWrap/>
            <w:vAlign w:val="center"/>
          </w:tcPr>
          <w:p>
            <w:pPr>
              <w:keepNext w:val="0"/>
              <w:keepLines w:val="0"/>
              <w:widowControl/>
              <w:suppressLineNumbers w:val="0"/>
              <w:spacing w:line="240"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填表人及联系方式：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trPr>
        <w:tc>
          <w:tcPr>
            <w:tcW w:w="9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09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民主党派（含民进支部）活动经费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主管部门及代码</w:t>
            </w:r>
          </w:p>
        </w:tc>
        <w:tc>
          <w:tcPr>
            <w:tcW w:w="193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中共三门峡市委统一战线工作部</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中共三门峡市委统一战线工作部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trPr>
        <w:tc>
          <w:tcPr>
            <w:tcW w:w="9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9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trPr>
        <w:tc>
          <w:tcPr>
            <w:tcW w:w="9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 w:hRule="atLeast"/>
        </w:trPr>
        <w:tc>
          <w:tcPr>
            <w:tcW w:w="9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bookmarkStart w:id="77" w:name="_GoBack"/>
            <w:bookmarkEnd w:id="77"/>
          </w:p>
        </w:tc>
        <w:tc>
          <w:tcPr>
            <w:tcW w:w="21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7"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2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加强党外代表人士队伍建设。进一步加强</w:t>
            </w:r>
            <w:r>
              <w:rPr>
                <w:rFonts w:hint="default" w:ascii="宋体" w:hAnsi="宋体" w:eastAsia="宋体" w:cs="宋体"/>
                <w:i w:val="0"/>
                <w:iCs w:val="0"/>
                <w:color w:val="000000"/>
                <w:kern w:val="0"/>
                <w:sz w:val="18"/>
                <w:szCs w:val="18"/>
                <w:u w:val="none"/>
                <w:lang w:val="en-US" w:eastAsia="zh-CN" w:bidi="ar"/>
              </w:rPr>
              <w:t>优秀党外</w:t>
            </w:r>
            <w:r>
              <w:rPr>
                <w:rFonts w:hint="eastAsia" w:ascii="宋体" w:hAnsi="宋体" w:eastAsia="宋体" w:cs="宋体"/>
                <w:i w:val="0"/>
                <w:iCs w:val="0"/>
                <w:color w:val="000000"/>
                <w:kern w:val="0"/>
                <w:sz w:val="18"/>
                <w:szCs w:val="18"/>
                <w:u w:val="none"/>
                <w:lang w:val="en-US" w:eastAsia="zh-CN" w:bidi="ar"/>
              </w:rPr>
              <w:t>后备</w:t>
            </w:r>
            <w:r>
              <w:rPr>
                <w:rFonts w:hint="default" w:ascii="宋体" w:hAnsi="宋体" w:eastAsia="宋体" w:cs="宋体"/>
                <w:i w:val="0"/>
                <w:iCs w:val="0"/>
                <w:color w:val="000000"/>
                <w:kern w:val="0"/>
                <w:sz w:val="18"/>
                <w:szCs w:val="18"/>
                <w:u w:val="none"/>
                <w:lang w:val="en-US" w:eastAsia="zh-CN" w:bidi="ar"/>
              </w:rPr>
              <w:t>干部</w:t>
            </w:r>
            <w:r>
              <w:rPr>
                <w:rFonts w:hint="eastAsia" w:ascii="宋体" w:hAnsi="宋体" w:eastAsia="宋体" w:cs="宋体"/>
                <w:i w:val="0"/>
                <w:iCs w:val="0"/>
                <w:color w:val="000000"/>
                <w:kern w:val="0"/>
                <w:sz w:val="18"/>
                <w:szCs w:val="18"/>
                <w:u w:val="none"/>
                <w:lang w:val="en-US" w:eastAsia="zh-CN" w:bidi="ar"/>
              </w:rPr>
              <w:t>队伍建设；完善统一战线各领域工作基础数据。推进民主党派成员、无党派人士、党外知识分子、少数民族人士、宗教界人士、民营经济人士等各领域党外代表人士队伍和统战干部数据库建设。</w:t>
            </w:r>
          </w:p>
        </w:tc>
        <w:tc>
          <w:tcPr>
            <w:tcW w:w="21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加强党外代表人士队伍建设。进一步加强</w:t>
            </w:r>
            <w:r>
              <w:rPr>
                <w:rFonts w:hint="default" w:ascii="宋体" w:hAnsi="宋体" w:eastAsia="宋体" w:cs="宋体"/>
                <w:i w:val="0"/>
                <w:iCs w:val="0"/>
                <w:color w:val="000000"/>
                <w:kern w:val="0"/>
                <w:sz w:val="18"/>
                <w:szCs w:val="18"/>
                <w:u w:val="none"/>
                <w:lang w:val="en-US" w:eastAsia="zh-CN" w:bidi="ar"/>
              </w:rPr>
              <w:t>优秀党外</w:t>
            </w:r>
            <w:r>
              <w:rPr>
                <w:rFonts w:hint="eastAsia" w:ascii="宋体" w:hAnsi="宋体" w:eastAsia="宋体" w:cs="宋体"/>
                <w:i w:val="0"/>
                <w:iCs w:val="0"/>
                <w:color w:val="000000"/>
                <w:kern w:val="0"/>
                <w:sz w:val="18"/>
                <w:szCs w:val="18"/>
                <w:u w:val="none"/>
                <w:lang w:val="en-US" w:eastAsia="zh-CN" w:bidi="ar"/>
              </w:rPr>
              <w:t>后备</w:t>
            </w:r>
            <w:r>
              <w:rPr>
                <w:rFonts w:hint="default" w:ascii="宋体" w:hAnsi="宋体" w:eastAsia="宋体" w:cs="宋体"/>
                <w:i w:val="0"/>
                <w:iCs w:val="0"/>
                <w:color w:val="000000"/>
                <w:kern w:val="0"/>
                <w:sz w:val="18"/>
                <w:szCs w:val="18"/>
                <w:u w:val="none"/>
                <w:lang w:val="en-US" w:eastAsia="zh-CN" w:bidi="ar"/>
              </w:rPr>
              <w:t>干部</w:t>
            </w:r>
            <w:r>
              <w:rPr>
                <w:rFonts w:hint="eastAsia" w:ascii="宋体" w:hAnsi="宋体" w:eastAsia="宋体" w:cs="宋体"/>
                <w:i w:val="0"/>
                <w:iCs w:val="0"/>
                <w:color w:val="000000"/>
                <w:kern w:val="0"/>
                <w:sz w:val="18"/>
                <w:szCs w:val="18"/>
                <w:u w:val="none"/>
                <w:lang w:val="en-US" w:eastAsia="zh-CN" w:bidi="ar"/>
              </w:rPr>
              <w:t>队伍建设；完善统一战线各领域工作基础数据。推进民主党派成员、无党派人士、党外知识分子、少数民族人士、宗教界人士、民营经济人士等各领域党外代表人士队伍和统战干部数据库建设。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三下乡完成率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调研完成率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召开会议完成率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培训完成率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社会服务公益活动完成率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党史学习教育活动完成率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老干部、老党员慰问完成率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三下乡覆盖率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调研覆盖率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召开会议覆盖率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培训出勤率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社会服务公益活动覆盖率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党史学习教育活动覆盖率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老干部慰问覆盖率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三下乡及时性</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调研及时性</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召开会议及时性</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全年/换届会议在第二季度</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全年/换届会议在第二季度</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社会服务公益活动及时性</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党史学习教育活动及时性</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全年</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老干部慰问及时性</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春节</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春节</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民盟项目经费</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九三学社项目经费</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农工党项目经费</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民进项目经费</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6万</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民建项目经费</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11万</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2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提供合理意见，促进三门峡经济发展</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促进</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促进</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7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2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增强参政议政的能力，提升凝聚力</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为三门峡市高质量发展，建设新的省域中心城市，做出更大贡献</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丰富市民疾病预防保健知识</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丰富</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覆盖群体少</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宣传力度较小，下一步需拓宽宣传渠道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 w:hRule="atLeast"/>
        </w:trPr>
        <w:tc>
          <w:tcPr>
            <w:tcW w:w="49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可持续影响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2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持续保持各民主党派参政议政，民主监督，服务社会</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保持</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保持</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1" w:hRule="atLeast"/>
        </w:trPr>
        <w:tc>
          <w:tcPr>
            <w:tcW w:w="4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受益民主人士满意度</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6" w:hRule="atLeast"/>
        </w:trPr>
        <w:tc>
          <w:tcPr>
            <w:tcW w:w="49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pPr>
          </w:p>
        </w:tc>
        <w:tc>
          <w:tcPr>
            <w:tcW w:w="41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pPr>
          </w:p>
        </w:tc>
        <w:tc>
          <w:tcPr>
            <w:tcW w:w="2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受益群众满意度</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93%</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 w:hRule="atLeast"/>
        </w:trPr>
        <w:tc>
          <w:tcPr>
            <w:tcW w:w="335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注：1.绩效自评采取打分评价的形式，</w:t>
            </w:r>
            <w:r>
              <w:rPr>
                <w:rStyle w:val="30"/>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宋体" w:hAnsi="宋体" w:eastAsia="宋体" w:cs="宋体"/>
                <w:i w:val="0"/>
                <w:iCs w:val="0"/>
                <w:color w:val="000000"/>
                <w:sz w:val="18"/>
                <w:szCs w:val="18"/>
                <w:u w:val="none"/>
              </w:rPr>
            </w:pPr>
          </w:p>
        </w:tc>
      </w:tr>
    </w:tbl>
    <w:p>
      <w:pPr>
        <w:tabs>
          <w:tab w:val="left" w:pos="1400"/>
        </w:tabs>
        <w:spacing w:line="20" w:lineRule="exact"/>
        <w:ind w:firstLine="640"/>
      </w:pPr>
    </w:p>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8E489"/>
    <w:multiLevelType w:val="singleLevel"/>
    <w:tmpl w:val="CA88E489"/>
    <w:lvl w:ilvl="0" w:tentative="0">
      <w:start w:val="1"/>
      <w:numFmt w:val="decimal"/>
      <w:suff w:val="nothing"/>
      <w:lvlText w:val="（%1）"/>
      <w:lvlJc w:val="left"/>
    </w:lvl>
  </w:abstractNum>
  <w:abstractNum w:abstractNumId="1">
    <w:nsid w:val="F229AC60"/>
    <w:multiLevelType w:val="singleLevel"/>
    <w:tmpl w:val="F229AC60"/>
    <w:lvl w:ilvl="0" w:tentative="0">
      <w:start w:val="1"/>
      <w:numFmt w:val="decimal"/>
      <w:suff w:val="nothing"/>
      <w:lvlText w:val="（%1）"/>
      <w:lvlJc w:val="left"/>
    </w:lvl>
  </w:abstractNum>
  <w:abstractNum w:abstractNumId="2">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6E18D1"/>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645940"/>
    <w:rsid w:val="03C660F1"/>
    <w:rsid w:val="042B4352"/>
    <w:rsid w:val="061A1738"/>
    <w:rsid w:val="06DD5138"/>
    <w:rsid w:val="09034D82"/>
    <w:rsid w:val="09FB27DA"/>
    <w:rsid w:val="0EE02FCE"/>
    <w:rsid w:val="119C29FF"/>
    <w:rsid w:val="11D14067"/>
    <w:rsid w:val="12696CAD"/>
    <w:rsid w:val="1B002515"/>
    <w:rsid w:val="1BA50EE0"/>
    <w:rsid w:val="1CBF4C66"/>
    <w:rsid w:val="1E245115"/>
    <w:rsid w:val="21032E75"/>
    <w:rsid w:val="2449572C"/>
    <w:rsid w:val="2636356A"/>
    <w:rsid w:val="28577A06"/>
    <w:rsid w:val="2AE845D1"/>
    <w:rsid w:val="30FD39D4"/>
    <w:rsid w:val="340A4177"/>
    <w:rsid w:val="358D1218"/>
    <w:rsid w:val="370D494C"/>
    <w:rsid w:val="37360FC5"/>
    <w:rsid w:val="390B472B"/>
    <w:rsid w:val="3B080524"/>
    <w:rsid w:val="3C7B0355"/>
    <w:rsid w:val="3F55385C"/>
    <w:rsid w:val="408C5853"/>
    <w:rsid w:val="441E6300"/>
    <w:rsid w:val="4E2F0CE7"/>
    <w:rsid w:val="4E992DD9"/>
    <w:rsid w:val="50C37060"/>
    <w:rsid w:val="533F163E"/>
    <w:rsid w:val="55F834F4"/>
    <w:rsid w:val="56D478D4"/>
    <w:rsid w:val="58E705AD"/>
    <w:rsid w:val="5FE15DE8"/>
    <w:rsid w:val="63BF54E2"/>
    <w:rsid w:val="649446F2"/>
    <w:rsid w:val="65091475"/>
    <w:rsid w:val="65950357"/>
    <w:rsid w:val="65A17FA7"/>
    <w:rsid w:val="666D63A3"/>
    <w:rsid w:val="69312D5B"/>
    <w:rsid w:val="70493BA2"/>
    <w:rsid w:val="74AD3F2D"/>
    <w:rsid w:val="77753743"/>
    <w:rsid w:val="789E7920"/>
    <w:rsid w:val="7BF34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4">
    <w:name w:val="heading 1"/>
    <w:basedOn w:val="1"/>
    <w:next w:val="1"/>
    <w:link w:val="17"/>
    <w:qFormat/>
    <w:uiPriority w:val="9"/>
    <w:pPr>
      <w:keepNext/>
      <w:keepLines/>
      <w:ind w:firstLine="0" w:firstLineChars="0"/>
      <w:jc w:val="left"/>
      <w:outlineLvl w:val="0"/>
    </w:pPr>
    <w:rPr>
      <w:rFonts w:ascii="黑体" w:hAnsi="黑体" w:eastAsia="黑体"/>
      <w:b/>
      <w:bCs/>
      <w:kern w:val="44"/>
    </w:rPr>
  </w:style>
  <w:style w:type="paragraph" w:styleId="5">
    <w:name w:val="heading 2"/>
    <w:basedOn w:val="1"/>
    <w:next w:val="6"/>
    <w:link w:val="20"/>
    <w:unhideWhenUsed/>
    <w:qFormat/>
    <w:uiPriority w:val="9"/>
    <w:pPr>
      <w:keepNext/>
      <w:keepLines/>
      <w:ind w:firstLine="0" w:firstLineChars="0"/>
      <w:jc w:val="left"/>
      <w:outlineLvl w:val="1"/>
    </w:pPr>
    <w:rPr>
      <w:rFonts w:ascii="楷体" w:hAnsi="楷体" w:eastAsia="楷体" w:cstheme="majorBidi"/>
      <w:b/>
      <w:bCs/>
    </w:rPr>
  </w:style>
  <w:style w:type="paragraph" w:styleId="6">
    <w:name w:val="heading 3"/>
    <w:basedOn w:val="1"/>
    <w:next w:val="1"/>
    <w:link w:val="22"/>
    <w:unhideWhenUsed/>
    <w:qFormat/>
    <w:uiPriority w:val="9"/>
    <w:pPr>
      <w:keepNext/>
      <w:keepLines/>
      <w:ind w:firstLine="200"/>
      <w:jc w:val="left"/>
      <w:outlineLvl w:val="2"/>
    </w:pPr>
    <w:rPr>
      <w:rFonts w:ascii="宋体" w:hAnsi="宋体"/>
      <w:b/>
      <w:bCs/>
    </w:rPr>
  </w:style>
  <w:style w:type="paragraph" w:styleId="7">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Chars="100"/>
    </w:pPr>
  </w:style>
  <w:style w:type="paragraph" w:styleId="3">
    <w:name w:val="Body Text"/>
    <w:basedOn w:val="1"/>
    <w:next w:val="1"/>
    <w:qFormat/>
    <w:uiPriority w:val="0"/>
    <w:pPr>
      <w:spacing w:after="120"/>
    </w:pPr>
  </w:style>
  <w:style w:type="paragraph" w:styleId="8">
    <w:name w:val="annotation text"/>
    <w:basedOn w:val="1"/>
    <w:qFormat/>
    <w:uiPriority w:val="0"/>
    <w:pPr>
      <w:jc w:val="left"/>
    </w:pPr>
  </w:style>
  <w:style w:type="paragraph" w:styleId="9">
    <w:name w:val="toc 3"/>
    <w:basedOn w:val="1"/>
    <w:next w:val="1"/>
    <w:unhideWhenUsed/>
    <w:qFormat/>
    <w:uiPriority w:val="39"/>
    <w:pPr>
      <w:ind w:left="840" w:leftChars="400"/>
    </w:pPr>
  </w:style>
  <w:style w:type="paragraph" w:styleId="10">
    <w:name w:val="footer"/>
    <w:basedOn w:val="1"/>
    <w:link w:val="21"/>
    <w:unhideWhenUsed/>
    <w:qFormat/>
    <w:uiPriority w:val="99"/>
    <w:pPr>
      <w:tabs>
        <w:tab w:val="center" w:pos="4153"/>
        <w:tab w:val="right" w:pos="8306"/>
      </w:tabs>
      <w:spacing w:line="240" w:lineRule="auto"/>
      <w:ind w:firstLine="0" w:firstLineChars="0"/>
      <w:jc w:val="left"/>
    </w:pPr>
    <w:rPr>
      <w:sz w:val="28"/>
      <w:szCs w:val="2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2">
    <w:name w:val="toc 1"/>
    <w:basedOn w:val="1"/>
    <w:next w:val="1"/>
    <w:unhideWhenUsed/>
    <w:qFormat/>
    <w:uiPriority w:val="39"/>
    <w:pPr>
      <w:tabs>
        <w:tab w:val="right" w:leader="dot" w:pos="8296"/>
      </w:tabs>
      <w:ind w:firstLine="0" w:firstLineChars="0"/>
      <w:jc w:val="center"/>
    </w:pPr>
    <w:rPr>
      <w:b/>
    </w:rPr>
  </w:style>
  <w:style w:type="paragraph" w:styleId="13">
    <w:name w:val="toc 2"/>
    <w:basedOn w:val="1"/>
    <w:next w:val="1"/>
    <w:unhideWhenUsed/>
    <w:qFormat/>
    <w:uiPriority w:val="39"/>
    <w:pPr>
      <w:ind w:left="420" w:leftChars="200" w:firstLine="0" w:firstLineChars="0"/>
    </w:p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basedOn w:val="16"/>
    <w:link w:val="4"/>
    <w:qFormat/>
    <w:uiPriority w:val="9"/>
    <w:rPr>
      <w:rFonts w:ascii="黑体" w:hAnsi="黑体" w:eastAsia="黑体"/>
      <w:b/>
      <w:bCs/>
      <w:kern w:val="44"/>
      <w:sz w:val="32"/>
      <w:szCs w:val="32"/>
    </w:rPr>
  </w:style>
  <w:style w:type="paragraph" w:customStyle="1" w:styleId="18">
    <w:name w:val="表格"/>
    <w:basedOn w:val="1"/>
    <w:next w:val="1"/>
    <w:qFormat/>
    <w:uiPriority w:val="0"/>
    <w:pPr>
      <w:spacing w:line="240" w:lineRule="auto"/>
      <w:ind w:firstLine="0" w:firstLineChars="0"/>
      <w:jc w:val="center"/>
    </w:pPr>
    <w:rPr>
      <w:rFonts w:ascii="Times New Roman" w:hAnsi="Times New Roman"/>
      <w:sz w:val="24"/>
      <w:szCs w:val="24"/>
    </w:rPr>
  </w:style>
  <w:style w:type="paragraph" w:customStyle="1" w:styleId="19">
    <w:name w:val="表头"/>
    <w:basedOn w:val="1"/>
    <w:next w:val="1"/>
    <w:qFormat/>
    <w:uiPriority w:val="0"/>
    <w:pPr>
      <w:spacing w:before="100" w:after="100"/>
      <w:jc w:val="center"/>
    </w:pPr>
    <w:rPr>
      <w:rFonts w:ascii="Times New Roman" w:hAnsi="Times New Roman"/>
      <w:b/>
      <w:bCs/>
      <w:szCs w:val="28"/>
    </w:rPr>
  </w:style>
  <w:style w:type="character" w:customStyle="1" w:styleId="20">
    <w:name w:val="标题 2 字符"/>
    <w:basedOn w:val="16"/>
    <w:link w:val="5"/>
    <w:qFormat/>
    <w:uiPriority w:val="9"/>
    <w:rPr>
      <w:rFonts w:ascii="楷体" w:hAnsi="楷体" w:eastAsia="楷体" w:cstheme="majorBidi"/>
      <w:b/>
      <w:bCs/>
      <w:kern w:val="2"/>
      <w:sz w:val="32"/>
      <w:szCs w:val="32"/>
    </w:rPr>
  </w:style>
  <w:style w:type="character" w:customStyle="1" w:styleId="21">
    <w:name w:val="页脚 字符"/>
    <w:basedOn w:val="16"/>
    <w:link w:val="10"/>
    <w:qFormat/>
    <w:uiPriority w:val="99"/>
    <w:rPr>
      <w:rFonts w:eastAsia="仿宋"/>
      <w:sz w:val="28"/>
      <w:szCs w:val="28"/>
    </w:rPr>
  </w:style>
  <w:style w:type="character" w:customStyle="1" w:styleId="22">
    <w:name w:val="标题 3 字符"/>
    <w:basedOn w:val="16"/>
    <w:link w:val="6"/>
    <w:qFormat/>
    <w:uiPriority w:val="9"/>
    <w:rPr>
      <w:rFonts w:ascii="宋体" w:hAnsi="宋体" w:eastAsia="仿宋"/>
      <w:b/>
      <w:bCs/>
      <w:kern w:val="2"/>
      <w:sz w:val="32"/>
      <w:szCs w:val="32"/>
    </w:rPr>
  </w:style>
  <w:style w:type="character" w:customStyle="1" w:styleId="23">
    <w:name w:val="标题 4 字符"/>
    <w:basedOn w:val="16"/>
    <w:link w:val="7"/>
    <w:semiHidden/>
    <w:qFormat/>
    <w:uiPriority w:val="9"/>
    <w:rPr>
      <w:rFonts w:asciiTheme="majorHAnsi" w:hAnsiTheme="majorHAnsi" w:eastAsiaTheme="majorEastAsia" w:cstheme="majorBidi"/>
      <w:b/>
      <w:bCs/>
      <w:kern w:val="2"/>
      <w:sz w:val="28"/>
      <w:szCs w:val="28"/>
    </w:rPr>
  </w:style>
  <w:style w:type="paragraph" w:customStyle="1" w:styleId="24">
    <w:name w:val="本模板"/>
    <w:basedOn w:val="1"/>
    <w:next w:val="1"/>
    <w:qFormat/>
    <w:uiPriority w:val="0"/>
    <w:pPr>
      <w:ind w:firstLine="0" w:firstLineChars="0"/>
      <w:jc w:val="center"/>
    </w:pPr>
  </w:style>
  <w:style w:type="paragraph" w:customStyle="1" w:styleId="25">
    <w:name w:val="由"/>
    <w:basedOn w:val="1"/>
    <w:qFormat/>
    <w:uiPriority w:val="0"/>
    <w:pPr>
      <w:ind w:firstLine="0" w:firstLineChars="0"/>
      <w:jc w:val="center"/>
    </w:pPr>
  </w:style>
  <w:style w:type="paragraph" w:customStyle="1" w:styleId="26">
    <w:name w:val="昭元绩效"/>
    <w:basedOn w:val="1"/>
    <w:qFormat/>
    <w:uiPriority w:val="0"/>
    <w:pPr>
      <w:spacing w:line="360" w:lineRule="auto"/>
      <w:ind w:firstLine="0" w:firstLineChars="0"/>
      <w:jc w:val="center"/>
    </w:pPr>
    <w:rPr>
      <w:rFonts w:eastAsia="宋体"/>
      <w:b/>
      <w:bCs/>
      <w:sz w:val="44"/>
      <w:szCs w:val="44"/>
    </w:rPr>
  </w:style>
  <w:style w:type="paragraph" w:customStyle="1" w:styleId="27">
    <w:name w:val="提供"/>
    <w:basedOn w:val="1"/>
    <w:qFormat/>
    <w:uiPriority w:val="0"/>
    <w:pPr>
      <w:ind w:firstLine="0" w:firstLineChars="0"/>
      <w:jc w:val="center"/>
    </w:pPr>
  </w:style>
  <w:style w:type="paragraph" w:customStyle="1" w:styleId="28">
    <w:name w:val="版权所有"/>
    <w:basedOn w:val="1"/>
    <w:qFormat/>
    <w:uiPriority w:val="0"/>
    <w:pPr>
      <w:ind w:firstLine="0" w:firstLineChars="0"/>
      <w:jc w:val="center"/>
    </w:pPr>
  </w:style>
  <w:style w:type="paragraph" w:customStyle="1" w:styleId="29">
    <w:name w:val="电话15515993457"/>
    <w:basedOn w:val="1"/>
    <w:qFormat/>
    <w:uiPriority w:val="0"/>
    <w:pPr>
      <w:ind w:firstLine="0" w:firstLineChars="0"/>
      <w:jc w:val="center"/>
    </w:pPr>
  </w:style>
  <w:style w:type="character" w:customStyle="1" w:styleId="30">
    <w:name w:val="font81"/>
    <w:basedOn w:val="1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17</Pages>
  <Words>6447</Words>
  <Characters>6795</Characters>
  <Lines>42</Lines>
  <Paragraphs>11</Paragraphs>
  <TotalTime>1</TotalTime>
  <ScaleCrop>false</ScaleCrop>
  <LinksUpToDate>false</LinksUpToDate>
  <CharactersWithSpaces>6849</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2022-06-07T03:18:36Z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AFEE01C9C29F498E838B9EE5D41A7E21</vt:lpwstr>
  </property>
</Properties>
</file>