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pPr>
      <w:bookmarkStart w:id="0" w:name="_Toc11908"/>
    </w:p>
    <w:p>
      <w:pPr>
        <w:ind w:firstLine="0" w:firstLineChars="0"/>
        <w:jc w:val="center"/>
        <w:rPr>
          <w:rFonts w:ascii="宋体" w:hAnsi="宋体" w:eastAsia="宋体"/>
          <w:b/>
          <w:sz w:val="52"/>
          <w:szCs w:val="52"/>
        </w:rPr>
      </w:pPr>
    </w:p>
    <w:p>
      <w:pPr>
        <w:pStyle w:val="27"/>
        <w:rPr>
          <w:rFonts w:hint="eastAsia" w:ascii="宋体" w:hAnsi="宋体" w:cs="宋体"/>
          <w:sz w:val="52"/>
          <w:szCs w:val="52"/>
        </w:rPr>
      </w:pPr>
      <w:r>
        <w:rPr>
          <w:rFonts w:hint="eastAsia" w:ascii="宋体" w:hAnsi="宋体" w:cs="宋体"/>
          <w:sz w:val="52"/>
          <w:szCs w:val="52"/>
        </w:rPr>
        <w:t>民族宗教工作经费</w:t>
      </w:r>
    </w:p>
    <w:p>
      <w:pPr>
        <w:pStyle w:val="27"/>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9"/>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highlight w:val="none"/>
        </w:rPr>
      </w:pPr>
      <w:r>
        <w:rPr>
          <w:rFonts w:hint="eastAsia" w:ascii="宋体" w:hAnsi="宋体" w:eastAsia="宋体"/>
          <w:b/>
          <w:highlight w:val="none"/>
        </w:rPr>
        <w:t>自评单位：</w:t>
      </w:r>
      <w:r>
        <w:rPr>
          <w:rFonts w:hint="eastAsia" w:ascii="黑体" w:hAnsi="黑体" w:eastAsia="黑体" w:cs="黑体"/>
          <w:highlight w:val="none"/>
          <w:lang w:eastAsia="zh-CN"/>
        </w:rPr>
        <w:t>中共三门峡市委统一战线工作部</w:t>
      </w:r>
    </w:p>
    <w:p>
      <w:pPr>
        <w:ind w:firstLine="0" w:firstLineChars="0"/>
        <w:jc w:val="center"/>
        <w:rPr>
          <w:rFonts w:ascii="宋体" w:hAnsi="宋体" w:eastAsia="宋体"/>
          <w:b/>
          <w:highlight w:val="yellow"/>
        </w:rPr>
      </w:pPr>
      <w:r>
        <w:rPr>
          <w:rFonts w:hint="eastAsia" w:ascii="宋体" w:hAnsi="宋体" w:eastAsia="宋体"/>
          <w:b/>
          <w:highlight w:val="none"/>
        </w:rPr>
        <w:t>日</w:t>
      </w:r>
      <w:r>
        <w:rPr>
          <w:rFonts w:ascii="宋体" w:hAnsi="宋体" w:eastAsia="宋体"/>
          <w:b/>
          <w:highlight w:val="none"/>
        </w:rPr>
        <w:t xml:space="preserve">    </w:t>
      </w:r>
      <w:r>
        <w:rPr>
          <w:rFonts w:hint="eastAsia" w:ascii="宋体" w:hAnsi="宋体" w:eastAsia="宋体"/>
          <w:b/>
          <w:highlight w:val="none"/>
        </w:rPr>
        <w:t>期：</w:t>
      </w:r>
      <w:r>
        <w:rPr>
          <w:rFonts w:hint="eastAsia" w:ascii="宋体" w:hAnsi="宋体" w:eastAsia="宋体"/>
          <w:b/>
          <w:highlight w:val="none"/>
          <w:lang w:val="en-US" w:eastAsia="zh-CN"/>
        </w:rPr>
        <w:t>2022</w:t>
      </w:r>
      <w:r>
        <w:rPr>
          <w:rFonts w:hint="eastAsia" w:ascii="宋体" w:hAnsi="宋体" w:eastAsia="宋体"/>
          <w:b/>
          <w:highlight w:val="none"/>
        </w:rPr>
        <w:t>年</w:t>
      </w:r>
      <w:r>
        <w:rPr>
          <w:rFonts w:hint="eastAsia" w:ascii="宋体" w:hAnsi="宋体" w:eastAsia="宋体"/>
          <w:b/>
          <w:highlight w:val="none"/>
          <w:lang w:val="en-US" w:eastAsia="zh-CN"/>
        </w:rPr>
        <w:t>5</w:t>
      </w:r>
      <w:r>
        <w:rPr>
          <w:rFonts w:hint="eastAsia" w:ascii="宋体" w:hAnsi="宋体" w:eastAsia="宋体"/>
          <w:b/>
          <w:highlight w:val="none"/>
        </w:rPr>
        <w:t>月</w:t>
      </w:r>
      <w:r>
        <w:rPr>
          <w:rFonts w:hint="eastAsia" w:ascii="宋体" w:hAnsi="宋体" w:eastAsia="宋体"/>
          <w:b/>
          <w:highlight w:val="none"/>
          <w:lang w:val="en-US" w:eastAsia="zh-CN"/>
        </w:rPr>
        <w:t>6</w:t>
      </w:r>
      <w:r>
        <w:rPr>
          <w:rFonts w:hint="eastAsia" w:ascii="宋体" w:hAnsi="宋体" w:eastAsia="宋体"/>
          <w:b/>
          <w:highlight w:val="none"/>
        </w:rPr>
        <w:t>日</w:t>
      </w:r>
    </w:p>
    <w:p>
      <w:pPr>
        <w:pStyle w:val="12"/>
        <w:rPr>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_Toc6897 </w:instrText>
      </w:r>
      <w:r>
        <w:fldChar w:fldCharType="separate"/>
      </w:r>
      <w:r>
        <w:rPr>
          <w:rFonts w:hint="eastAsia"/>
        </w:rPr>
        <w:t>一、项目基本情况</w:t>
      </w:r>
      <w:r>
        <w:tab/>
      </w:r>
      <w:r>
        <w:fldChar w:fldCharType="begin"/>
      </w:r>
      <w:r>
        <w:instrText xml:space="preserve"> PAGEREF _Toc6897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_Toc31646 </w:instrText>
      </w:r>
      <w:r>
        <w:fldChar w:fldCharType="separate"/>
      </w:r>
      <w:r>
        <w:rPr>
          <w:rFonts w:hint="eastAsia"/>
        </w:rPr>
        <w:t>（一）项目基本信息</w:t>
      </w:r>
      <w:r>
        <w:tab/>
      </w:r>
      <w:r>
        <w:fldChar w:fldCharType="begin"/>
      </w:r>
      <w:r>
        <w:instrText xml:space="preserve"> PAGEREF _Toc31646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_Toc32456 </w:instrText>
      </w:r>
      <w:r>
        <w:fldChar w:fldCharType="separate"/>
      </w:r>
      <w:r>
        <w:rPr>
          <w:rFonts w:hint="eastAsia"/>
        </w:rPr>
        <w:t>（二）项目支出情况</w:t>
      </w:r>
      <w:r>
        <w:tab/>
      </w:r>
      <w:r>
        <w:fldChar w:fldCharType="begin"/>
      </w:r>
      <w:r>
        <w:instrText xml:space="preserve"> PAGEREF _Toc32456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_Toc20521 </w:instrText>
      </w:r>
      <w:r>
        <w:fldChar w:fldCharType="separate"/>
      </w:r>
      <w:r>
        <w:rPr>
          <w:rFonts w:hint="eastAsia"/>
        </w:rPr>
        <w:t>二、绩效自评工作开展情况</w:t>
      </w:r>
      <w:r>
        <w:tab/>
      </w:r>
      <w:r>
        <w:fldChar w:fldCharType="begin"/>
      </w:r>
      <w:r>
        <w:instrText xml:space="preserve"> PAGEREF _Toc20521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_Toc11285 </w:instrText>
      </w:r>
      <w:r>
        <w:fldChar w:fldCharType="separate"/>
      </w:r>
      <w:r>
        <w:rPr>
          <w:rFonts w:hint="eastAsia"/>
        </w:rPr>
        <w:t>（一）绩效自评价目的和意义</w:t>
      </w:r>
      <w:r>
        <w:tab/>
      </w:r>
      <w:r>
        <w:fldChar w:fldCharType="begin"/>
      </w:r>
      <w:r>
        <w:instrText xml:space="preserve"> PAGEREF _Toc11285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_Toc17941 </w:instrText>
      </w:r>
      <w:r>
        <w:fldChar w:fldCharType="separate"/>
      </w:r>
      <w:r>
        <w:rPr>
          <w:rFonts w:hint="eastAsia"/>
        </w:rPr>
        <w:t>（二）绩效自评价对象和范围</w:t>
      </w:r>
      <w:r>
        <w:tab/>
      </w:r>
      <w:r>
        <w:fldChar w:fldCharType="begin"/>
      </w:r>
      <w:r>
        <w:instrText xml:space="preserve"> PAGEREF _Toc17941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_Toc21755 </w:instrText>
      </w:r>
      <w:r>
        <w:fldChar w:fldCharType="separate"/>
      </w:r>
      <w:r>
        <w:rPr>
          <w:rFonts w:hint="eastAsia"/>
        </w:rPr>
        <w:t>（三）绩效评价的依据</w:t>
      </w:r>
      <w:r>
        <w:tab/>
      </w:r>
      <w:r>
        <w:fldChar w:fldCharType="begin"/>
      </w:r>
      <w:r>
        <w:instrText xml:space="preserve"> PAGEREF _Toc21755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_Toc7946 </w:instrText>
      </w:r>
      <w:r>
        <w:fldChar w:fldCharType="separate"/>
      </w:r>
      <w:r>
        <w:rPr>
          <w:rFonts w:hint="eastAsia"/>
        </w:rPr>
        <w:t>（四）评分方法</w:t>
      </w:r>
      <w:r>
        <w:tab/>
      </w:r>
      <w:r>
        <w:fldChar w:fldCharType="begin"/>
      </w:r>
      <w:r>
        <w:instrText xml:space="preserve"> PAGEREF _Toc7946 \h </w:instrText>
      </w:r>
      <w:r>
        <w:fldChar w:fldCharType="separate"/>
      </w:r>
      <w:r>
        <w:t>3</w:t>
      </w:r>
      <w:r>
        <w:fldChar w:fldCharType="end"/>
      </w:r>
      <w:r>
        <w:fldChar w:fldCharType="end"/>
      </w:r>
    </w:p>
    <w:p>
      <w:pPr>
        <w:pStyle w:val="13"/>
        <w:tabs>
          <w:tab w:val="right" w:leader="dot" w:pos="8306"/>
        </w:tabs>
      </w:pPr>
      <w:r>
        <w:fldChar w:fldCharType="begin"/>
      </w:r>
      <w:r>
        <w:instrText xml:space="preserve"> HYPERLINK \l _Toc29768 </w:instrText>
      </w:r>
      <w:r>
        <w:fldChar w:fldCharType="separate"/>
      </w:r>
      <w:r>
        <w:rPr>
          <w:rFonts w:hint="eastAsia"/>
        </w:rPr>
        <w:t>（五）绩效自评工作组织</w:t>
      </w:r>
      <w:r>
        <w:tab/>
      </w:r>
      <w:r>
        <w:fldChar w:fldCharType="begin"/>
      </w:r>
      <w:r>
        <w:instrText xml:space="preserve"> PAGEREF _Toc29768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_Toc21313 </w:instrText>
      </w:r>
      <w:r>
        <w:fldChar w:fldCharType="separate"/>
      </w:r>
      <w:r>
        <w:rPr>
          <w:rFonts w:hint="eastAsia"/>
        </w:rPr>
        <w:t>三、绩效自评结果及分析</w:t>
      </w:r>
      <w:r>
        <w:tab/>
      </w:r>
      <w:r>
        <w:fldChar w:fldCharType="begin"/>
      </w:r>
      <w:r>
        <w:instrText xml:space="preserve"> PAGEREF _Toc21313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_Toc28523 </w:instrText>
      </w:r>
      <w:r>
        <w:fldChar w:fldCharType="separate"/>
      </w:r>
      <w:r>
        <w:t>（一）绩效自评价结果</w:t>
      </w:r>
      <w:r>
        <w:tab/>
      </w:r>
      <w:r>
        <w:fldChar w:fldCharType="begin"/>
      </w:r>
      <w:r>
        <w:instrText xml:space="preserve"> PAGEREF _Toc28523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_Toc12317 </w:instrText>
      </w:r>
      <w:r>
        <w:fldChar w:fldCharType="separate"/>
      </w:r>
      <w:r>
        <w:rPr>
          <w:rFonts w:hint="eastAsia"/>
        </w:rPr>
        <w:t>（二）自评指标分析</w:t>
      </w:r>
      <w:r>
        <w:tab/>
      </w:r>
      <w:r>
        <w:fldChar w:fldCharType="begin"/>
      </w:r>
      <w:r>
        <w:instrText xml:space="preserve"> PAGEREF _Toc12317 \h </w:instrText>
      </w:r>
      <w:r>
        <w:fldChar w:fldCharType="separate"/>
      </w:r>
      <w:r>
        <w:t>5</w:t>
      </w:r>
      <w:r>
        <w:fldChar w:fldCharType="end"/>
      </w:r>
      <w:r>
        <w:fldChar w:fldCharType="end"/>
      </w:r>
    </w:p>
    <w:p>
      <w:pPr>
        <w:pStyle w:val="12"/>
        <w:tabs>
          <w:tab w:val="right" w:leader="dot" w:pos="8306"/>
          <w:tab w:val="clear" w:pos="8296"/>
        </w:tabs>
      </w:pPr>
      <w:r>
        <w:fldChar w:fldCharType="begin"/>
      </w:r>
      <w:r>
        <w:instrText xml:space="preserve"> HYPERLINK \l _Toc11558 </w:instrText>
      </w:r>
      <w:r>
        <w:fldChar w:fldCharType="separate"/>
      </w:r>
      <w:r>
        <w:rPr>
          <w:rFonts w:hint="eastAsia"/>
        </w:rPr>
        <w:t>四、成果和问题</w:t>
      </w:r>
      <w:r>
        <w:tab/>
      </w:r>
      <w:r>
        <w:fldChar w:fldCharType="begin"/>
      </w:r>
      <w:r>
        <w:instrText xml:space="preserve"> PAGEREF _Toc11558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_Toc15515 </w:instrText>
      </w:r>
      <w:r>
        <w:fldChar w:fldCharType="separate"/>
      </w:r>
      <w:r>
        <w:rPr>
          <w:rFonts w:hint="eastAsia"/>
        </w:rPr>
        <w:t>（一）项目实施的成果</w:t>
      </w:r>
      <w:r>
        <w:tab/>
      </w:r>
      <w:r>
        <w:fldChar w:fldCharType="begin"/>
      </w:r>
      <w:r>
        <w:instrText xml:space="preserve"> PAGEREF _Toc15515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_Toc28351 </w:instrText>
      </w:r>
      <w:r>
        <w:fldChar w:fldCharType="separate"/>
      </w:r>
      <w:r>
        <w:rPr>
          <w:rFonts w:hint="eastAsia"/>
        </w:rPr>
        <w:t>（二）项目存在的问题</w:t>
      </w:r>
      <w:r>
        <w:tab/>
      </w:r>
      <w:r>
        <w:fldChar w:fldCharType="begin"/>
      </w:r>
      <w:r>
        <w:instrText xml:space="preserve"> PAGEREF _Toc28351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_Toc6716 </w:instrText>
      </w:r>
      <w:r>
        <w:fldChar w:fldCharType="separate"/>
      </w:r>
      <w:r>
        <w:rPr>
          <w:rFonts w:hint="eastAsia"/>
        </w:rPr>
        <w:t>五、建议</w:t>
      </w:r>
      <w:r>
        <w:tab/>
      </w:r>
      <w:r>
        <w:fldChar w:fldCharType="begin"/>
      </w:r>
      <w:r>
        <w:instrText xml:space="preserve"> PAGEREF _Toc6716 \h </w:instrText>
      </w:r>
      <w:r>
        <w:fldChar w:fldCharType="separate"/>
      </w:r>
      <w:r>
        <w:t>9</w:t>
      </w:r>
      <w:r>
        <w:fldChar w:fldCharType="end"/>
      </w:r>
      <w:r>
        <w:fldChar w:fldCharType="end"/>
      </w:r>
    </w:p>
    <w:p>
      <w:pPr>
        <w:pStyle w:val="13"/>
        <w:tabs>
          <w:tab w:val="right" w:leader="dot" w:pos="8306"/>
        </w:tabs>
      </w:pPr>
      <w:r>
        <w:fldChar w:fldCharType="begin"/>
      </w:r>
      <w:r>
        <w:instrText xml:space="preserve"> HYPERLINK \l _Toc26552 </w:instrText>
      </w:r>
      <w:r>
        <w:fldChar w:fldCharType="separate"/>
      </w:r>
      <w:r>
        <w:rPr>
          <w:rFonts w:hint="eastAsia"/>
          <w:highlight w:val="none"/>
        </w:rPr>
        <w:t>（一）</w:t>
      </w:r>
      <w:r>
        <w:rPr>
          <w:rFonts w:hint="eastAsia"/>
          <w:highlight w:val="none"/>
          <w:lang w:val="en-US" w:eastAsia="zh-CN"/>
        </w:rPr>
        <w:t>制定弹性工作计划安排</w:t>
      </w:r>
      <w:r>
        <w:tab/>
      </w:r>
      <w:r>
        <w:fldChar w:fldCharType="begin"/>
      </w:r>
      <w:r>
        <w:instrText xml:space="preserve"> PAGEREF _Toc26552 \h </w:instrText>
      </w:r>
      <w:r>
        <w:fldChar w:fldCharType="separate"/>
      </w:r>
      <w:r>
        <w:t>9</w:t>
      </w:r>
      <w:r>
        <w:fldChar w:fldCharType="end"/>
      </w:r>
      <w:r>
        <w:fldChar w:fldCharType="end"/>
      </w:r>
    </w:p>
    <w:p>
      <w:pPr>
        <w:pStyle w:val="13"/>
        <w:tabs>
          <w:tab w:val="right" w:leader="dot" w:pos="8306"/>
        </w:tabs>
      </w:pPr>
      <w:r>
        <w:fldChar w:fldCharType="begin"/>
      </w:r>
      <w:r>
        <w:instrText xml:space="preserve"> HYPERLINK \l _Toc3675 </w:instrText>
      </w:r>
      <w:r>
        <w:fldChar w:fldCharType="separate"/>
      </w:r>
      <w:r>
        <w:rPr>
          <w:rFonts w:hint="eastAsia"/>
          <w:highlight w:val="none"/>
        </w:rPr>
        <w:t>（二）加强学习培训，进一步提高绩效管理水平</w:t>
      </w:r>
      <w:r>
        <w:tab/>
      </w:r>
      <w:r>
        <w:fldChar w:fldCharType="begin"/>
      </w:r>
      <w:r>
        <w:instrText xml:space="preserve"> PAGEREF _Toc3675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_Toc12380 </w:instrText>
      </w:r>
      <w:r>
        <w:fldChar w:fldCharType="separate"/>
      </w:r>
      <w:r>
        <w:rPr>
          <w:rFonts w:hint="eastAsia"/>
          <w:highlight w:val="none"/>
        </w:rPr>
        <w:t>六、其他需要说明的问题</w:t>
      </w:r>
      <w:r>
        <w:tab/>
      </w:r>
      <w:r>
        <w:fldChar w:fldCharType="begin"/>
      </w:r>
      <w:r>
        <w:instrText xml:space="preserve"> PAGEREF _Toc12380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_Toc32521 </w:instrText>
      </w:r>
      <w:r>
        <w:fldChar w:fldCharType="separate"/>
      </w:r>
      <w:r>
        <w:rPr>
          <w:rFonts w:hint="eastAsia"/>
        </w:rPr>
        <w:t>七、附件</w:t>
      </w:r>
      <w:r>
        <w:tab/>
      </w:r>
      <w:r>
        <w:fldChar w:fldCharType="begin"/>
      </w:r>
      <w:r>
        <w:instrText xml:space="preserve"> PAGEREF _Toc32521 \h </w:instrText>
      </w:r>
      <w:r>
        <w:fldChar w:fldCharType="separate"/>
      </w:r>
      <w:r>
        <w:t>9</w:t>
      </w:r>
      <w:r>
        <w:fldChar w:fldCharType="end"/>
      </w:r>
      <w:r>
        <w:fldChar w:fldCharType="end"/>
      </w:r>
    </w:p>
    <w:p>
      <w:pPr>
        <w:pStyle w:val="13"/>
        <w:tabs>
          <w:tab w:val="right" w:leader="dot" w:pos="8306"/>
        </w:tabs>
      </w:pPr>
      <w:r>
        <w:fldChar w:fldCharType="begin"/>
      </w:r>
      <w:r>
        <w:instrText xml:space="preserve"> HYPERLINK \l _Toc20899 </w:instrText>
      </w:r>
      <w:r>
        <w:fldChar w:fldCharType="separate"/>
      </w:r>
      <w:r>
        <w:rPr>
          <w:rFonts w:hint="eastAsia"/>
        </w:rPr>
        <w:t>附件一：项目绩效自评表</w:t>
      </w:r>
      <w:r>
        <w:tab/>
      </w:r>
      <w:r>
        <w:fldChar w:fldCharType="begin"/>
      </w:r>
      <w:r>
        <w:instrText xml:space="preserve"> PAGEREF _Toc20899 \h </w:instrText>
      </w:r>
      <w:r>
        <w:fldChar w:fldCharType="separate"/>
      </w:r>
      <w:r>
        <w:t>10</w:t>
      </w:r>
      <w:r>
        <w:fldChar w:fldCharType="end"/>
      </w:r>
      <w:r>
        <w:fldChar w:fldCharType="end"/>
      </w:r>
    </w:p>
    <w:p>
      <w:pPr>
        <w:ind w:firstLine="640"/>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425" w:num="1"/>
          <w:docGrid w:type="lines" w:linePitch="312" w:charSpace="0"/>
        </w:sectPr>
      </w:pPr>
      <w:r>
        <w:fldChar w:fldCharType="end"/>
      </w:r>
    </w:p>
    <w:p>
      <w:pPr>
        <w:pStyle w:val="4"/>
      </w:pPr>
      <w:bookmarkStart w:id="1" w:name="_Toc6897"/>
      <w:bookmarkStart w:id="2" w:name="_Toc79333430"/>
      <w:r>
        <w:rPr>
          <w:rFonts w:hint="eastAsia"/>
        </w:rPr>
        <w:t>一、项目基本情况</w:t>
      </w:r>
      <w:bookmarkEnd w:id="0"/>
      <w:bookmarkEnd w:id="1"/>
      <w:bookmarkEnd w:id="2"/>
    </w:p>
    <w:p>
      <w:pPr>
        <w:pStyle w:val="5"/>
      </w:pPr>
      <w:bookmarkStart w:id="3" w:name="_Toc79333431"/>
      <w:bookmarkStart w:id="4" w:name="_Toc8110"/>
      <w:bookmarkStart w:id="5" w:name="_Toc31646"/>
      <w:r>
        <w:rPr>
          <w:rFonts w:hint="eastAsia"/>
        </w:rPr>
        <w:t>（一）项目基本信息</w:t>
      </w:r>
      <w:bookmarkEnd w:id="3"/>
      <w:bookmarkEnd w:id="4"/>
      <w:bookmarkEnd w:id="5"/>
    </w:p>
    <w:p>
      <w:pPr>
        <w:ind w:firstLine="640"/>
        <w:rPr>
          <w:rFonts w:hint="eastAsia" w:ascii="宋体" w:hAnsi="宋体" w:eastAsia="仿宋" w:cstheme="minorBidi"/>
          <w:b/>
          <w:bCs/>
          <w:kern w:val="2"/>
          <w:sz w:val="32"/>
          <w:szCs w:val="32"/>
          <w:lang w:val="en-US" w:eastAsia="zh-CN" w:bidi="ar-SA"/>
        </w:rPr>
      </w:pPr>
      <w:bookmarkStart w:id="6" w:name="_Toc79333432"/>
      <w:r>
        <w:rPr>
          <w:rFonts w:hint="eastAsia" w:ascii="宋体" w:hAnsi="宋体" w:eastAsia="仿宋" w:cstheme="minorBidi"/>
          <w:b/>
          <w:bCs/>
          <w:kern w:val="2"/>
          <w:sz w:val="32"/>
          <w:szCs w:val="32"/>
          <w:lang w:val="en-US" w:eastAsia="zh-CN" w:bidi="ar-SA"/>
        </w:rPr>
        <w:t>1、项目背景</w:t>
      </w:r>
      <w:bookmarkEnd w:id="6"/>
      <w:r>
        <w:rPr>
          <w:rFonts w:hint="eastAsia" w:ascii="宋体" w:hAnsi="宋体" w:eastAsia="仿宋" w:cstheme="minorBidi"/>
          <w:b/>
          <w:bCs/>
          <w:kern w:val="2"/>
          <w:sz w:val="32"/>
          <w:szCs w:val="32"/>
          <w:lang w:val="en-US" w:eastAsia="zh-CN" w:bidi="ar-SA"/>
        </w:rPr>
        <w:t>及项目实施内容</w:t>
      </w:r>
    </w:p>
    <w:p>
      <w:pPr>
        <w:ind w:firstLine="640"/>
        <w:rPr>
          <w:highlight w:val="none"/>
        </w:rPr>
      </w:pPr>
      <w:r>
        <w:rPr>
          <w:highlight w:val="none"/>
        </w:rPr>
        <w:t>深入学习贯彻习近平总书记关于加强和改进民族工作的重要思想和关于宗教工作的重要论述，认真落实中央、省</w:t>
      </w:r>
      <w:r>
        <w:rPr>
          <w:rFonts w:hint="eastAsia"/>
          <w:highlight w:val="none"/>
          <w:lang w:eastAsia="zh-CN"/>
        </w:rPr>
        <w:t>、</w:t>
      </w:r>
      <w:r>
        <w:rPr>
          <w:rFonts w:hint="eastAsia"/>
          <w:highlight w:val="none"/>
          <w:lang w:val="en-US" w:eastAsia="zh-CN"/>
        </w:rPr>
        <w:t>市</w:t>
      </w:r>
      <w:r>
        <w:rPr>
          <w:highlight w:val="none"/>
        </w:rPr>
        <w:t>委民族工作会议及全国、全省宗教工作会议精神，铸牢中华民族共同体意识，坚持我国宗教中国化方向，正确掌握做好民族宗教工作的认识论方法论实践论，努力开创全市民族宗教工作新局面</w:t>
      </w:r>
      <w:r>
        <w:rPr>
          <w:rFonts w:hint="eastAsia"/>
          <w:highlight w:val="none"/>
          <w:lang w:eastAsia="zh-CN"/>
        </w:rPr>
        <w:t>，</w:t>
      </w:r>
      <w:r>
        <w:rPr>
          <w:highlight w:val="none"/>
        </w:rPr>
        <w:t>以实际行动迎接党的二十大胜利召开。</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highlight w:val="none"/>
        </w:rPr>
      </w:pPr>
      <w:r>
        <w:rPr>
          <w:rFonts w:hint="eastAsia"/>
          <w:highlight w:val="none"/>
        </w:rPr>
        <w:t>团结联系民族宗教界代表人士，发挥代表人士作用，维护民族和睦、宗教稳定。做好宗教依法治理工作，解决民族宗教领域突出问题，引导宗教与社会主义相适应，实现民族宗教领域和谐稳定。</w:t>
      </w:r>
      <w:bookmarkStart w:id="7" w:name="_Toc14372"/>
    </w:p>
    <w:p>
      <w:pPr>
        <w:pStyle w:val="5"/>
      </w:pPr>
      <w:bookmarkStart w:id="8" w:name="_Toc32456"/>
      <w:bookmarkStart w:id="9" w:name="_Toc79333434"/>
      <w:r>
        <w:rPr>
          <w:rFonts w:hint="eastAsia"/>
        </w:rPr>
        <w:t>（二）项目支出情况</w:t>
      </w:r>
      <w:bookmarkEnd w:id="7"/>
      <w:bookmarkEnd w:id="8"/>
      <w:bookmarkEnd w:id="9"/>
    </w:p>
    <w:p>
      <w:pPr>
        <w:pStyle w:val="6"/>
        <w:ind w:firstLine="643"/>
      </w:pPr>
      <w:bookmarkStart w:id="10" w:name="_Toc79333435"/>
      <w:bookmarkStart w:id="11" w:name="_Toc28118"/>
      <w:r>
        <w:rPr>
          <w:rFonts w:hint="eastAsia"/>
        </w:rPr>
        <w:t>1、项目预算情况</w:t>
      </w:r>
      <w:bookmarkEnd w:id="10"/>
      <w:bookmarkEnd w:id="11"/>
    </w:p>
    <w:p>
      <w:pPr>
        <w:ind w:firstLine="640"/>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10</w:t>
      </w:r>
      <w:r>
        <w:rPr>
          <w:rFonts w:hint="eastAsia"/>
          <w:highlight w:val="none"/>
        </w:rPr>
        <w:t>万元，当年实际执行</w:t>
      </w:r>
      <w:r>
        <w:rPr>
          <w:rFonts w:hint="eastAsia"/>
          <w:highlight w:val="none"/>
          <w:lang w:val="en-US" w:eastAsia="zh-CN"/>
        </w:rPr>
        <w:t>10</w:t>
      </w:r>
      <w:r>
        <w:rPr>
          <w:rFonts w:hint="eastAsia"/>
          <w:highlight w:val="none"/>
        </w:rPr>
        <w:t>万元。</w:t>
      </w:r>
    </w:p>
    <w:p>
      <w:pPr>
        <w:pStyle w:val="6"/>
        <w:ind w:firstLine="643"/>
      </w:pPr>
      <w:bookmarkStart w:id="12" w:name="_Toc79333436"/>
      <w:bookmarkStart w:id="13" w:name="_Toc18098"/>
      <w:r>
        <w:rPr>
          <w:rFonts w:hint="eastAsia"/>
        </w:rPr>
        <w:t>2、项目预算执行情况</w:t>
      </w:r>
      <w:bookmarkEnd w:id="12"/>
      <w:bookmarkEnd w:id="13"/>
    </w:p>
    <w:p>
      <w:pPr>
        <w:ind w:firstLine="640"/>
        <w:jc w:val="left"/>
        <w:rPr>
          <w:highlight w:val="yellow"/>
        </w:rPr>
      </w:pPr>
      <w:r>
        <w:rPr>
          <w:rFonts w:hint="eastAsia"/>
          <w:highlight w:val="none"/>
        </w:rPr>
        <w:t>项目全年预算财政资金为</w:t>
      </w:r>
      <w:r>
        <w:rPr>
          <w:rFonts w:hint="eastAsia"/>
          <w:highlight w:val="none"/>
          <w:lang w:val="en-US" w:eastAsia="zh-CN"/>
        </w:rPr>
        <w:t>10</w:t>
      </w:r>
      <w:r>
        <w:rPr>
          <w:rFonts w:hint="eastAsia"/>
          <w:highlight w:val="none"/>
        </w:rPr>
        <w:t>万元，实际支出</w:t>
      </w:r>
      <w:r>
        <w:rPr>
          <w:rFonts w:hint="eastAsia"/>
          <w:highlight w:val="none"/>
          <w:lang w:val="en-US" w:eastAsia="zh-CN"/>
        </w:rPr>
        <w:t>10</w:t>
      </w:r>
      <w:r>
        <w:rPr>
          <w:rFonts w:hint="eastAsia"/>
          <w:highlight w:val="none"/>
        </w:rPr>
        <w:t>万元，执行率100%。</w:t>
      </w:r>
    </w:p>
    <w:p>
      <w:pPr>
        <w:pStyle w:val="4"/>
      </w:pPr>
      <w:bookmarkStart w:id="14" w:name="_Toc79333437"/>
      <w:bookmarkStart w:id="15" w:name="_Toc10420"/>
      <w:bookmarkStart w:id="16" w:name="_Toc20521"/>
      <w:bookmarkStart w:id="17" w:name="_Toc75871361"/>
      <w:r>
        <w:rPr>
          <w:rFonts w:hint="eastAsia"/>
        </w:rPr>
        <w:t>二、绩效自评工作开展情况</w:t>
      </w:r>
      <w:bookmarkEnd w:id="14"/>
      <w:bookmarkEnd w:id="15"/>
      <w:bookmarkEnd w:id="16"/>
      <w:bookmarkEnd w:id="17"/>
    </w:p>
    <w:p>
      <w:pPr>
        <w:pStyle w:val="5"/>
      </w:pPr>
      <w:bookmarkStart w:id="18" w:name="_Toc79333438"/>
      <w:bookmarkStart w:id="19" w:name="_Toc11285"/>
      <w:bookmarkStart w:id="20" w:name="_Toc75871362"/>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pPr>
      <w:bookmarkStart w:id="21" w:name="_Toc79333439"/>
      <w:bookmarkStart w:id="22" w:name="_Toc75871363"/>
      <w:bookmarkStart w:id="23" w:name="_Toc17941"/>
      <w:bookmarkStart w:id="24" w:name="_Toc3060"/>
      <w:r>
        <w:rPr>
          <w:rFonts w:hint="eastAsia"/>
        </w:rPr>
        <w:t>（二）绩效自评价对象和范围</w:t>
      </w:r>
      <w:bookmarkEnd w:id="21"/>
      <w:bookmarkEnd w:id="22"/>
      <w:bookmarkEnd w:id="23"/>
      <w:bookmarkEnd w:id="24"/>
    </w:p>
    <w:p>
      <w:pPr>
        <w:ind w:firstLine="640"/>
      </w:pPr>
      <w:r>
        <w:rPr>
          <w:rFonts w:hint="eastAsia"/>
          <w:highlight w:val="none"/>
        </w:rPr>
        <w:t>本次绩效自评价对象为2</w:t>
      </w:r>
      <w:r>
        <w:rPr>
          <w:highlight w:val="none"/>
        </w:rPr>
        <w:t>02</w:t>
      </w:r>
      <w:r>
        <w:rPr>
          <w:rFonts w:hint="eastAsia"/>
          <w:highlight w:val="none"/>
        </w:rPr>
        <w:t>1年民族宗教工作经费建设项目专项资金，评价范围为涉及该项目管理及其预算资金</w:t>
      </w:r>
      <w:r>
        <w:rPr>
          <w:rFonts w:hint="eastAsia"/>
          <w:highlight w:val="none"/>
          <w:lang w:val="en-US" w:eastAsia="zh-CN"/>
        </w:rPr>
        <w:t>10</w:t>
      </w:r>
      <w:r>
        <w:rPr>
          <w:rFonts w:hint="eastAsia"/>
          <w:highlight w:val="none"/>
        </w:rPr>
        <w:t>万元的使用情况</w:t>
      </w:r>
      <w:r>
        <w:rPr>
          <w:rFonts w:hint="eastAsia"/>
        </w:rPr>
        <w:t>。</w:t>
      </w:r>
    </w:p>
    <w:p>
      <w:pPr>
        <w:pStyle w:val="5"/>
      </w:pPr>
      <w:bookmarkStart w:id="25" w:name="_Toc75871364"/>
      <w:bookmarkStart w:id="26" w:name="_Toc21755"/>
      <w:bookmarkStart w:id="27" w:name="_Toc8160"/>
      <w:bookmarkStart w:id="28" w:name="_Toc79333440"/>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pStyle w:val="2"/>
        <w:numPr>
          <w:ilvl w:val="0"/>
          <w:numId w:val="1"/>
        </w:numPr>
        <w:ind w:left="0" w:leftChars="0" w:firstLine="640" w:firstLineChars="200"/>
      </w:pPr>
      <w:r>
        <w:rPr>
          <w:rFonts w:hint="eastAsia"/>
          <w:lang w:val="en-US" w:eastAsia="zh-CN"/>
        </w:rPr>
        <w:t>《三门峡市财政局关于开展2021年度市级预算绩效自评工作的通知》（三财效</w:t>
      </w:r>
      <w:r>
        <w:rPr>
          <w:rFonts w:hint="eastAsia"/>
        </w:rPr>
        <w:t>〔2020〕</w:t>
      </w:r>
      <w:r>
        <w:rPr>
          <w:rFonts w:hint="eastAsia"/>
          <w:lang w:val="en-US" w:eastAsia="zh-CN"/>
        </w:rPr>
        <w:t>3</w:t>
      </w:r>
      <w:r>
        <w:rPr>
          <w:rFonts w:hint="eastAsia"/>
        </w:rPr>
        <w:t>号</w:t>
      </w:r>
      <w:r>
        <w:rPr>
          <w:rFonts w:hint="eastAsia"/>
          <w:lang w:val="en-US" w:eastAsia="zh-CN"/>
        </w:rPr>
        <w:t>）；</w:t>
      </w:r>
    </w:p>
    <w:p>
      <w:pPr>
        <w:numPr>
          <w:ilvl w:val="0"/>
          <w:numId w:val="1"/>
        </w:numPr>
        <w:ind w:firstLine="640"/>
      </w:pPr>
      <w:r>
        <w:rPr>
          <w:rFonts w:hint="eastAsia"/>
        </w:rPr>
        <w:t>与本次自评相关的其他资料。</w:t>
      </w:r>
    </w:p>
    <w:p>
      <w:pPr>
        <w:pStyle w:val="5"/>
      </w:pPr>
      <w:bookmarkStart w:id="29" w:name="_Toc7946"/>
      <w:bookmarkStart w:id="30" w:name="_Toc75871365"/>
      <w:bookmarkStart w:id="31" w:name="_Toc13521"/>
      <w:bookmarkStart w:id="32" w:name="_Toc79333441"/>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5"/>
      </w:pPr>
      <w:bookmarkStart w:id="34" w:name="_Toc79333442"/>
      <w:bookmarkStart w:id="35" w:name="_Toc29768"/>
      <w:bookmarkStart w:id="36" w:name="_Toc75871366"/>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4"/>
      </w:pPr>
      <w:bookmarkStart w:id="37" w:name="_Toc21313"/>
      <w:bookmarkStart w:id="38" w:name="_Toc79333443"/>
      <w:r>
        <w:rPr>
          <w:rFonts w:hint="eastAsia"/>
        </w:rPr>
        <w:t>三、绩效自评结果及分析</w:t>
      </w:r>
      <w:bookmarkEnd w:id="37"/>
      <w:bookmarkEnd w:id="38"/>
    </w:p>
    <w:p>
      <w:pPr>
        <w:pStyle w:val="5"/>
      </w:pPr>
      <w:bookmarkStart w:id="39" w:name="_Toc28523"/>
      <w:bookmarkStart w:id="40" w:name="_Toc4028"/>
      <w:bookmarkStart w:id="41" w:name="_Toc79333444"/>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pPr>
      <w:r>
        <w:rPr>
          <w:rFonts w:hint="eastAsia"/>
        </w:rPr>
        <w:t>我单位通过对本项目调查研究、座谈、查阅相关资料，根据相关政策要求进行打分，最终项目自评价得分</w:t>
      </w:r>
      <w:r>
        <w:rPr>
          <w:rFonts w:hint="eastAsia"/>
          <w:highlight w:val="none"/>
        </w:rPr>
        <w:t>为</w:t>
      </w:r>
      <w:r>
        <w:rPr>
          <w:rFonts w:hint="eastAsia"/>
          <w:color w:val="auto"/>
          <w:highlight w:val="none"/>
          <w:lang w:val="en-US" w:eastAsia="zh-CN"/>
        </w:rPr>
        <w:t>98</w:t>
      </w:r>
      <w:r>
        <w:rPr>
          <w:rFonts w:hint="eastAsia"/>
          <w:color w:val="auto"/>
          <w:highlight w:val="none"/>
        </w:rPr>
        <w:t>分，评价结果为“</w:t>
      </w:r>
      <w:r>
        <w:rPr>
          <w:rFonts w:hint="eastAsia"/>
          <w:color w:val="auto"/>
          <w:highlight w:val="none"/>
          <w:lang w:val="en-US" w:eastAsia="zh-CN"/>
        </w:rPr>
        <w:t>优</w:t>
      </w:r>
      <w:r>
        <w:rPr>
          <w:rFonts w:hint="eastAsia"/>
          <w:color w:val="auto"/>
          <w:highlight w:val="none"/>
        </w:rPr>
        <w:t>”。各项指标具体得分情况如下表</w:t>
      </w:r>
      <w:r>
        <w:rPr>
          <w:color w:val="auto"/>
          <w:highlight w:val="none"/>
        </w:rPr>
        <w:t>3</w:t>
      </w:r>
      <w:r>
        <w:rPr>
          <w:rFonts w:hint="eastAsia"/>
          <w:color w:val="auto"/>
          <w:highlight w:val="none"/>
        </w:rPr>
        <w:t>.1所示</w:t>
      </w:r>
    </w:p>
    <w:p>
      <w:pPr>
        <w:pStyle w:val="20"/>
        <w:ind w:firstLine="643"/>
        <w:rPr>
          <w:rFonts w:hint="eastAsia"/>
        </w:rPr>
      </w:pPr>
    </w:p>
    <w:p>
      <w:pPr>
        <w:pStyle w:val="20"/>
        <w:ind w:firstLine="643"/>
      </w:pPr>
      <w:r>
        <w:rPr>
          <w:rFonts w:hint="eastAsia"/>
        </w:rPr>
        <w:t>表3.1 绩效自评价得分表</w:t>
      </w:r>
    </w:p>
    <w:tbl>
      <w:tblPr>
        <w:tblStyle w:val="15"/>
        <w:tblW w:w="4954" w:type="pct"/>
        <w:jc w:val="center"/>
        <w:tblLayout w:type="fixed"/>
        <w:tblCellMar>
          <w:top w:w="0" w:type="dxa"/>
          <w:left w:w="108" w:type="dxa"/>
          <w:bottom w:w="0" w:type="dxa"/>
          <w:right w:w="108" w:type="dxa"/>
        </w:tblCellMar>
      </w:tblPr>
      <w:tblGrid>
        <w:gridCol w:w="1305"/>
        <w:gridCol w:w="1603"/>
        <w:gridCol w:w="2724"/>
        <w:gridCol w:w="1439"/>
        <w:gridCol w:w="1373"/>
      </w:tblGrid>
      <w:tr>
        <w:tblPrEx>
          <w:tblCellMar>
            <w:top w:w="0" w:type="dxa"/>
            <w:left w:w="108" w:type="dxa"/>
            <w:bottom w:w="0" w:type="dxa"/>
            <w:right w:w="108" w:type="dxa"/>
          </w:tblCellMar>
        </w:tblPrEx>
        <w:trPr>
          <w:trHeight w:val="567" w:hRule="atLeast"/>
          <w:tblHeader/>
          <w:jc w:val="center"/>
        </w:trPr>
        <w:tc>
          <w:tcPr>
            <w:tcW w:w="77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9"/>
              <w:rPr>
                <w:highlight w:val="none"/>
              </w:rPr>
            </w:pPr>
            <w:bookmarkStart w:id="42" w:name="_Toc31442"/>
            <w:bookmarkStart w:id="43" w:name="_Toc79333445"/>
            <w:r>
              <w:rPr>
                <w:rFonts w:hint="eastAsia"/>
                <w:highlight w:val="none"/>
              </w:rPr>
              <w:t>一级指标</w:t>
            </w:r>
          </w:p>
        </w:tc>
        <w:tc>
          <w:tcPr>
            <w:tcW w:w="9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二级指标</w:t>
            </w:r>
          </w:p>
        </w:tc>
        <w:tc>
          <w:tcPr>
            <w:tcW w:w="161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三级指标</w:t>
            </w:r>
          </w:p>
        </w:tc>
        <w:tc>
          <w:tcPr>
            <w:tcW w:w="85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标准分值</w:t>
            </w:r>
          </w:p>
        </w:tc>
        <w:tc>
          <w:tcPr>
            <w:tcW w:w="81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w:t>
            </w:r>
          </w:p>
        </w:tc>
        <w:tc>
          <w:tcPr>
            <w:tcW w:w="949" w:type="pct"/>
            <w:tcBorders>
              <w:top w:val="single" w:color="auto" w:sz="4" w:space="0"/>
              <w:left w:val="nil"/>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预算执行率</w:t>
            </w:r>
          </w:p>
        </w:tc>
        <w:tc>
          <w:tcPr>
            <w:tcW w:w="852" w:type="pct"/>
            <w:tcBorders>
              <w:top w:val="single" w:color="auto" w:sz="4" w:space="0"/>
              <w:left w:val="nil"/>
              <w:bottom w:val="single" w:color="auto" w:sz="4" w:space="0"/>
              <w:right w:val="single" w:color="auto"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c>
          <w:tcPr>
            <w:tcW w:w="813" w:type="pct"/>
            <w:tcBorders>
              <w:top w:val="single" w:color="auto" w:sz="4" w:space="0"/>
              <w:left w:val="nil"/>
              <w:bottom w:val="single" w:color="auto" w:sz="4" w:space="0"/>
              <w:right w:val="single" w:color="auto"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70" w:hRule="atLeast"/>
          <w:jc w:val="center"/>
        </w:trPr>
        <w:tc>
          <w:tcPr>
            <w:tcW w:w="772" w:type="pct"/>
            <w:vMerge w:val="restart"/>
            <w:tcBorders>
              <w:left w:val="single" w:color="auto" w:sz="4" w:space="0"/>
              <w:right w:val="single" w:color="auto" w:sz="4" w:space="0"/>
            </w:tcBorders>
            <w:vAlign w:val="center"/>
          </w:tcPr>
          <w:p>
            <w:pPr>
              <w:pStyle w:val="19"/>
              <w:rPr>
                <w:rFonts w:hint="eastAsia" w:eastAsia="仿宋"/>
                <w:highlight w:val="none"/>
                <w:lang w:val="en-US" w:eastAsia="zh-CN"/>
              </w:rPr>
            </w:pPr>
            <w:r>
              <w:rPr>
                <w:rFonts w:hint="eastAsia"/>
                <w:highlight w:val="none"/>
                <w:lang w:val="en-US" w:eastAsia="zh-CN"/>
              </w:rPr>
              <w:t>产出指标</w:t>
            </w:r>
          </w:p>
        </w:tc>
        <w:tc>
          <w:tcPr>
            <w:tcW w:w="160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数量指标</w:t>
            </w:r>
          </w:p>
        </w:tc>
        <w:tc>
          <w:tcPr>
            <w:tcW w:w="272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维护宗教界代表人士</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6</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default" w:eastAsia="仿宋"/>
                <w:highlight w:val="none"/>
                <w:lang w:val="en-US" w:eastAsia="zh-CN"/>
              </w:rPr>
            </w:pPr>
            <w:r>
              <w:rPr>
                <w:rFonts w:hint="eastAsia"/>
                <w:highlight w:val="none"/>
                <w:lang w:val="en-US" w:eastAsia="zh-CN"/>
              </w:rPr>
              <w:t>6</w:t>
            </w:r>
          </w:p>
        </w:tc>
      </w:tr>
      <w:tr>
        <w:tblPrEx>
          <w:tblCellMar>
            <w:top w:w="0" w:type="dxa"/>
            <w:left w:w="108" w:type="dxa"/>
            <w:bottom w:w="0" w:type="dxa"/>
            <w:right w:w="108" w:type="dxa"/>
          </w:tblCellMar>
        </w:tblPrEx>
        <w:trPr>
          <w:trHeight w:val="70" w:hRule="atLeast"/>
          <w:jc w:val="center"/>
        </w:trPr>
        <w:tc>
          <w:tcPr>
            <w:tcW w:w="772" w:type="pct"/>
            <w:vMerge w:val="continue"/>
            <w:tcBorders>
              <w:left w:val="single" w:color="auto" w:sz="4" w:space="0"/>
              <w:right w:val="single" w:color="auto" w:sz="4" w:space="0"/>
            </w:tcBorders>
            <w:vAlign w:val="center"/>
          </w:tcPr>
          <w:p>
            <w:pPr>
              <w:pStyle w:val="19"/>
            </w:pPr>
          </w:p>
        </w:tc>
        <w:tc>
          <w:tcPr>
            <w:tcW w:w="949" w:type="pct"/>
            <w:vMerge w:val="continue"/>
            <w:tcBorders>
              <w:left w:val="single" w:color="auto" w:sz="4" w:space="0"/>
              <w:bottom w:val="single" w:color="auto" w:sz="4" w:space="0"/>
              <w:right w:val="single" w:color="auto" w:sz="4" w:space="0"/>
            </w:tcBorders>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p>
        </w:tc>
        <w:tc>
          <w:tcPr>
            <w:tcW w:w="2724" w:type="dxa"/>
            <w:tcBorders>
              <w:top w:val="single" w:color="auto" w:sz="4" w:space="0"/>
              <w:left w:val="nil"/>
              <w:bottom w:val="single" w:color="auto" w:sz="4" w:space="0"/>
              <w:right w:val="single" w:color="auto" w:sz="4" w:space="0"/>
            </w:tcBorders>
            <w:shd w:val="clear" w:color="auto" w:fill="auto"/>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成立行动调研指导组</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6</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6</w:t>
            </w:r>
          </w:p>
        </w:tc>
      </w:tr>
      <w:tr>
        <w:tblPrEx>
          <w:tblCellMar>
            <w:top w:w="0" w:type="dxa"/>
            <w:left w:w="108" w:type="dxa"/>
            <w:bottom w:w="0" w:type="dxa"/>
            <w:right w:w="108" w:type="dxa"/>
          </w:tblCellMar>
        </w:tblPrEx>
        <w:trPr>
          <w:trHeight w:val="70" w:hRule="atLeast"/>
          <w:jc w:val="center"/>
        </w:trPr>
        <w:tc>
          <w:tcPr>
            <w:tcW w:w="772" w:type="pct"/>
            <w:vMerge w:val="continue"/>
            <w:tcBorders>
              <w:left w:val="single" w:color="auto" w:sz="4" w:space="0"/>
              <w:right w:val="single" w:color="auto" w:sz="4" w:space="0"/>
            </w:tcBorders>
            <w:vAlign w:val="center"/>
          </w:tcPr>
          <w:p>
            <w:pPr>
              <w:pStyle w:val="19"/>
              <w:rPr>
                <w:rFonts w:hint="eastAsia"/>
                <w:highlight w:val="none"/>
              </w:rPr>
            </w:pPr>
          </w:p>
        </w:tc>
        <w:tc>
          <w:tcPr>
            <w:tcW w:w="160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质量指标</w:t>
            </w:r>
          </w:p>
        </w:tc>
        <w:tc>
          <w:tcPr>
            <w:tcW w:w="272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宗教代表人士补助发放完成率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6</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6</w:t>
            </w:r>
          </w:p>
        </w:tc>
      </w:tr>
      <w:tr>
        <w:tblPrEx>
          <w:tblCellMar>
            <w:top w:w="0" w:type="dxa"/>
            <w:left w:w="108" w:type="dxa"/>
            <w:bottom w:w="0" w:type="dxa"/>
            <w:right w:w="108" w:type="dxa"/>
          </w:tblCellMar>
        </w:tblPrEx>
        <w:trPr>
          <w:trHeight w:val="70" w:hRule="atLeast"/>
          <w:jc w:val="center"/>
        </w:trPr>
        <w:tc>
          <w:tcPr>
            <w:tcW w:w="772" w:type="pct"/>
            <w:vMerge w:val="continue"/>
            <w:tcBorders>
              <w:left w:val="single" w:color="auto" w:sz="4" w:space="0"/>
              <w:right w:val="single" w:color="auto" w:sz="4" w:space="0"/>
            </w:tcBorders>
            <w:vAlign w:val="center"/>
          </w:tcPr>
          <w:p>
            <w:pPr>
              <w:pStyle w:val="19"/>
              <w:rPr>
                <w:rFonts w:hint="eastAsia"/>
                <w:highlight w:val="none"/>
              </w:rPr>
            </w:pPr>
          </w:p>
        </w:tc>
        <w:tc>
          <w:tcPr>
            <w:tcW w:w="949" w:type="pct"/>
            <w:vMerge w:val="continue"/>
            <w:tcBorders>
              <w:left w:val="single" w:color="auto" w:sz="4" w:space="0"/>
              <w:bottom w:val="single" w:color="auto" w:sz="4" w:space="0"/>
              <w:right w:val="single" w:color="auto" w:sz="4" w:space="0"/>
            </w:tcBorders>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p>
        </w:tc>
        <w:tc>
          <w:tcPr>
            <w:tcW w:w="2724" w:type="dxa"/>
            <w:tcBorders>
              <w:top w:val="single" w:color="auto" w:sz="4" w:space="0"/>
              <w:left w:val="nil"/>
              <w:bottom w:val="single" w:color="auto" w:sz="4" w:space="0"/>
              <w:right w:val="single" w:color="auto" w:sz="4" w:space="0"/>
            </w:tcBorders>
            <w:shd w:val="clear" w:color="auto" w:fill="auto"/>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开展“一三三四”专项行动完成率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6</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default" w:eastAsia="仿宋"/>
                <w:highlight w:val="none"/>
                <w:lang w:val="en-US" w:eastAsia="zh-CN"/>
              </w:rPr>
            </w:pPr>
            <w:r>
              <w:rPr>
                <w:rFonts w:hint="eastAsia"/>
                <w:highlight w:val="none"/>
                <w:lang w:val="en-US" w:eastAsia="zh-CN"/>
              </w:rPr>
              <w:t>6</w:t>
            </w:r>
          </w:p>
        </w:tc>
      </w:tr>
      <w:tr>
        <w:tblPrEx>
          <w:tblCellMar>
            <w:top w:w="0" w:type="dxa"/>
            <w:left w:w="108" w:type="dxa"/>
            <w:bottom w:w="0" w:type="dxa"/>
            <w:right w:w="108" w:type="dxa"/>
          </w:tblCellMar>
        </w:tblPrEx>
        <w:trPr>
          <w:trHeight w:val="70" w:hRule="atLeast"/>
          <w:jc w:val="center"/>
        </w:trPr>
        <w:tc>
          <w:tcPr>
            <w:tcW w:w="772" w:type="pct"/>
            <w:vMerge w:val="continue"/>
            <w:tcBorders>
              <w:left w:val="single" w:color="auto" w:sz="4" w:space="0"/>
              <w:right w:val="single" w:color="auto" w:sz="4" w:space="0"/>
            </w:tcBorders>
            <w:vAlign w:val="center"/>
          </w:tcPr>
          <w:p>
            <w:pPr>
              <w:pStyle w:val="19"/>
              <w:rPr>
                <w:rFonts w:hint="eastAsia"/>
                <w:highlight w:val="none"/>
              </w:rPr>
            </w:pPr>
          </w:p>
        </w:tc>
        <w:tc>
          <w:tcPr>
            <w:tcW w:w="160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时效指标</w:t>
            </w:r>
          </w:p>
        </w:tc>
        <w:tc>
          <w:tcPr>
            <w:tcW w:w="272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宗教代表人士补助发放及时性</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6</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6</w:t>
            </w:r>
          </w:p>
        </w:tc>
      </w:tr>
      <w:tr>
        <w:tblPrEx>
          <w:tblCellMar>
            <w:top w:w="0" w:type="dxa"/>
            <w:left w:w="108" w:type="dxa"/>
            <w:bottom w:w="0" w:type="dxa"/>
            <w:right w:w="108" w:type="dxa"/>
          </w:tblCellMar>
        </w:tblPrEx>
        <w:trPr>
          <w:trHeight w:val="70" w:hRule="atLeast"/>
          <w:jc w:val="center"/>
        </w:trPr>
        <w:tc>
          <w:tcPr>
            <w:tcW w:w="772" w:type="pct"/>
            <w:vMerge w:val="continue"/>
            <w:tcBorders>
              <w:left w:val="single" w:color="auto" w:sz="4" w:space="0"/>
              <w:right w:val="single" w:color="auto" w:sz="4" w:space="0"/>
            </w:tcBorders>
            <w:vAlign w:val="center"/>
          </w:tcPr>
          <w:p>
            <w:pPr>
              <w:pStyle w:val="19"/>
              <w:rPr>
                <w:rFonts w:hint="eastAsia"/>
                <w:highlight w:val="none"/>
              </w:rPr>
            </w:pPr>
          </w:p>
        </w:tc>
        <w:tc>
          <w:tcPr>
            <w:tcW w:w="949" w:type="pct"/>
            <w:vMerge w:val="continue"/>
            <w:tcBorders>
              <w:left w:val="single" w:color="auto" w:sz="4" w:space="0"/>
              <w:bottom w:val="single" w:color="auto" w:sz="4" w:space="0"/>
              <w:right w:val="single" w:color="auto" w:sz="4" w:space="0"/>
            </w:tcBorders>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p>
        </w:tc>
        <w:tc>
          <w:tcPr>
            <w:tcW w:w="2724" w:type="dxa"/>
            <w:tcBorders>
              <w:top w:val="single" w:color="auto" w:sz="4" w:space="0"/>
              <w:left w:val="nil"/>
              <w:bottom w:val="single" w:color="auto" w:sz="4" w:space="0"/>
              <w:right w:val="single" w:color="auto" w:sz="4" w:space="0"/>
            </w:tcBorders>
            <w:shd w:val="clear" w:color="auto" w:fill="auto"/>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开展“一三三四”专项行动及时性</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6</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eastAsia="仿宋"/>
                <w:highlight w:val="none"/>
                <w:lang w:val="en-US" w:eastAsia="zh-CN"/>
              </w:rPr>
            </w:pPr>
            <w:r>
              <w:rPr>
                <w:rFonts w:hint="eastAsia"/>
                <w:highlight w:val="none"/>
                <w:lang w:val="en-US" w:eastAsia="zh-CN"/>
              </w:rPr>
              <w:t>4</w:t>
            </w:r>
          </w:p>
        </w:tc>
      </w:tr>
      <w:tr>
        <w:tblPrEx>
          <w:tblCellMar>
            <w:top w:w="0" w:type="dxa"/>
            <w:left w:w="108" w:type="dxa"/>
            <w:bottom w:w="0" w:type="dxa"/>
            <w:right w:w="108" w:type="dxa"/>
          </w:tblCellMar>
        </w:tblPrEx>
        <w:trPr>
          <w:trHeight w:val="70" w:hRule="atLeast"/>
          <w:jc w:val="center"/>
        </w:trPr>
        <w:tc>
          <w:tcPr>
            <w:tcW w:w="772" w:type="pct"/>
            <w:vMerge w:val="continue"/>
            <w:tcBorders>
              <w:left w:val="single" w:color="auto" w:sz="4" w:space="0"/>
              <w:right w:val="single" w:color="auto" w:sz="4" w:space="0"/>
            </w:tcBorders>
            <w:vAlign w:val="center"/>
          </w:tcPr>
          <w:p>
            <w:pPr>
              <w:pStyle w:val="19"/>
              <w:rPr>
                <w:rFonts w:hint="eastAsia"/>
                <w:highlight w:val="none"/>
              </w:rPr>
            </w:pPr>
          </w:p>
        </w:tc>
        <w:tc>
          <w:tcPr>
            <w:tcW w:w="1603" w:type="dxa"/>
            <w:vMerge w:val="restar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成本指标</w:t>
            </w:r>
          </w:p>
        </w:tc>
        <w:tc>
          <w:tcPr>
            <w:tcW w:w="272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宗教代表人士补助</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eastAsia" w:eastAsia="仿宋"/>
                <w:highlight w:val="none"/>
                <w:lang w:val="en-US" w:eastAsia="zh-CN"/>
              </w:rPr>
            </w:pPr>
            <w:r>
              <w:rPr>
                <w:rFonts w:hint="eastAsia"/>
                <w:highlight w:val="none"/>
                <w:lang w:val="en-US" w:eastAsia="zh-CN"/>
              </w:rPr>
              <w:t>7</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7</w:t>
            </w:r>
          </w:p>
        </w:tc>
      </w:tr>
      <w:tr>
        <w:tblPrEx>
          <w:tblCellMar>
            <w:top w:w="0" w:type="dxa"/>
            <w:left w:w="108" w:type="dxa"/>
            <w:bottom w:w="0" w:type="dxa"/>
            <w:right w:w="108" w:type="dxa"/>
          </w:tblCellMar>
        </w:tblPrEx>
        <w:trPr>
          <w:trHeight w:val="70" w:hRule="atLeast"/>
          <w:jc w:val="center"/>
        </w:trPr>
        <w:tc>
          <w:tcPr>
            <w:tcW w:w="772" w:type="pct"/>
            <w:vMerge w:val="continue"/>
            <w:tcBorders>
              <w:left w:val="single" w:color="auto" w:sz="4" w:space="0"/>
              <w:bottom w:val="single" w:color="000000" w:sz="4" w:space="0"/>
              <w:right w:val="single" w:color="auto" w:sz="4" w:space="0"/>
            </w:tcBorders>
            <w:vAlign w:val="center"/>
          </w:tcPr>
          <w:p>
            <w:pPr>
              <w:pStyle w:val="19"/>
              <w:rPr>
                <w:rFonts w:hint="eastAsia"/>
                <w:highlight w:val="none"/>
              </w:rPr>
            </w:pPr>
          </w:p>
        </w:tc>
        <w:tc>
          <w:tcPr>
            <w:tcW w:w="949" w:type="pct"/>
            <w:vMerge w:val="continue"/>
            <w:tcBorders>
              <w:left w:val="single" w:color="auto" w:sz="4" w:space="0"/>
              <w:bottom w:val="single" w:color="auto" w:sz="4" w:space="0"/>
              <w:right w:val="single" w:color="auto" w:sz="4" w:space="0"/>
            </w:tcBorders>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p>
        </w:tc>
        <w:tc>
          <w:tcPr>
            <w:tcW w:w="2724" w:type="dxa"/>
            <w:tcBorders>
              <w:top w:val="single" w:color="auto" w:sz="4" w:space="0"/>
              <w:left w:val="nil"/>
              <w:bottom w:val="single" w:color="auto" w:sz="4" w:space="0"/>
              <w:right w:val="single" w:color="auto" w:sz="4" w:space="0"/>
            </w:tcBorders>
            <w:shd w:val="clear" w:color="auto" w:fill="auto"/>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开展“一三三四”专项行动</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eastAsia" w:eastAsia="仿宋"/>
                <w:highlight w:val="none"/>
                <w:lang w:val="en-US" w:eastAsia="zh-CN"/>
              </w:rPr>
            </w:pPr>
            <w:r>
              <w:rPr>
                <w:rFonts w:hint="eastAsia"/>
                <w:highlight w:val="none"/>
                <w:lang w:val="en-US" w:eastAsia="zh-CN"/>
              </w:rPr>
              <w:t>7</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default" w:eastAsia="仿宋"/>
                <w:highlight w:val="none"/>
                <w:lang w:val="en-US" w:eastAsia="zh-CN"/>
              </w:rPr>
            </w:pPr>
            <w:r>
              <w:rPr>
                <w:rFonts w:hint="eastAsia"/>
                <w:highlight w:val="none"/>
                <w:lang w:val="en-US" w:eastAsia="zh-CN"/>
              </w:rPr>
              <w:t>7</w:t>
            </w:r>
          </w:p>
        </w:tc>
      </w:tr>
      <w:tr>
        <w:tblPrEx>
          <w:tblCellMar>
            <w:top w:w="0" w:type="dxa"/>
            <w:left w:w="108" w:type="dxa"/>
            <w:bottom w:w="0" w:type="dxa"/>
            <w:right w:w="108" w:type="dxa"/>
          </w:tblCellMar>
        </w:tblPrEx>
        <w:trPr>
          <w:trHeight w:val="316" w:hRule="atLeast"/>
          <w:jc w:val="center"/>
        </w:trPr>
        <w:tc>
          <w:tcPr>
            <w:tcW w:w="772" w:type="pct"/>
            <w:vMerge w:val="restart"/>
            <w:tcBorders>
              <w:left w:val="single" w:color="auto" w:sz="4" w:space="0"/>
              <w:right w:val="single" w:color="auto" w:sz="4" w:space="0"/>
            </w:tcBorders>
            <w:shd w:val="clear" w:color="auto" w:fill="auto"/>
            <w:noWrap/>
            <w:vAlign w:val="center"/>
          </w:tcPr>
          <w:p>
            <w:pPr>
              <w:pStyle w:val="19"/>
              <w:rPr>
                <w:rFonts w:hint="eastAsia" w:eastAsia="仿宋"/>
                <w:highlight w:val="none"/>
                <w:lang w:val="en-US" w:eastAsia="zh-CN"/>
              </w:rPr>
            </w:pPr>
            <w:r>
              <w:rPr>
                <w:rFonts w:hint="eastAsia"/>
                <w:highlight w:val="none"/>
                <w:lang w:val="en-US" w:eastAsia="zh-CN"/>
              </w:rPr>
              <w:t>效益指标</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社会效益指标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民族宗教领域和谐稳定</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15</w:t>
            </w:r>
          </w:p>
        </w:tc>
      </w:tr>
      <w:tr>
        <w:tblPrEx>
          <w:tblCellMar>
            <w:top w:w="0" w:type="dxa"/>
            <w:left w:w="108" w:type="dxa"/>
            <w:bottom w:w="0" w:type="dxa"/>
            <w:right w:w="108" w:type="dxa"/>
          </w:tblCellMar>
        </w:tblPrEx>
        <w:trPr>
          <w:trHeight w:val="316" w:hRule="atLeast"/>
          <w:jc w:val="center"/>
        </w:trPr>
        <w:tc>
          <w:tcPr>
            <w:tcW w:w="772" w:type="pct"/>
            <w:vMerge w:val="continue"/>
            <w:tcBorders>
              <w:left w:val="single" w:color="auto" w:sz="4" w:space="0"/>
              <w:right w:val="single" w:color="auto" w:sz="4" w:space="0"/>
            </w:tcBorders>
            <w:shd w:val="clear" w:color="auto" w:fill="auto"/>
            <w:noWrap/>
            <w:vAlign w:val="center"/>
          </w:tcPr>
          <w:p>
            <w:pPr>
              <w:pStyle w:val="19"/>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可持续影响</w:t>
            </w:r>
            <w:r>
              <w:rPr>
                <w:rFonts w:hint="eastAsia" w:ascii="Times New Roman" w:hAnsi="Times New Roman" w:eastAsia="仿宋" w:cstheme="minorBidi"/>
                <w:kern w:val="2"/>
                <w:sz w:val="24"/>
                <w:szCs w:val="24"/>
                <w:highlight w:val="none"/>
                <w:lang w:val="en-US" w:eastAsia="zh-CN" w:bidi="ar-SA"/>
              </w:rPr>
              <w:br w:type="textWrapping"/>
            </w:r>
            <w:r>
              <w:rPr>
                <w:rFonts w:hint="eastAsia" w:ascii="Times New Roman" w:hAnsi="Times New Roman" w:eastAsia="仿宋" w:cstheme="minorBidi"/>
                <w:kern w:val="2"/>
                <w:sz w:val="24"/>
                <w:szCs w:val="24"/>
                <w:highlight w:val="none"/>
                <w:lang w:val="en-US" w:eastAsia="zh-CN" w:bidi="ar-SA"/>
              </w:rPr>
              <w:t>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持续保持宗教领域稳定</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15</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满意度</w:t>
            </w:r>
          </w:p>
          <w:p>
            <w:pPr>
              <w:pStyle w:val="19"/>
              <w:rPr>
                <w:highlight w:val="none"/>
              </w:rPr>
            </w:pPr>
            <w:r>
              <w:rPr>
                <w:rFonts w:hint="eastAsia"/>
                <w:highlight w:val="none"/>
              </w:rPr>
              <w:t>指标</w:t>
            </w:r>
          </w:p>
        </w:tc>
        <w:tc>
          <w:tcPr>
            <w:tcW w:w="949" w:type="pct"/>
            <w:tcBorders>
              <w:top w:val="single" w:color="auto" w:sz="4" w:space="0"/>
              <w:left w:val="nil"/>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服务对象满意度指标</w:t>
            </w:r>
          </w:p>
        </w:tc>
        <w:tc>
          <w:tcPr>
            <w:tcW w:w="1612"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受益对象满意度</w:t>
            </w:r>
          </w:p>
        </w:tc>
        <w:tc>
          <w:tcPr>
            <w:tcW w:w="852"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19"/>
              <w:rPr>
                <w:rFonts w:hint="default" w:eastAsia="仿宋"/>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9"/>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33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总分</w:t>
            </w:r>
          </w:p>
        </w:tc>
        <w:tc>
          <w:tcPr>
            <w:tcW w:w="852" w:type="pct"/>
            <w:tcBorders>
              <w:top w:val="single" w:color="auto" w:sz="4" w:space="0"/>
              <w:left w:val="nil"/>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1</w:t>
            </w:r>
            <w:r>
              <w:rPr>
                <w:highlight w:val="none"/>
              </w:rPr>
              <w:t>00</w:t>
            </w:r>
          </w:p>
        </w:tc>
        <w:tc>
          <w:tcPr>
            <w:tcW w:w="813" w:type="pct"/>
            <w:tcBorders>
              <w:top w:val="single" w:color="auto" w:sz="4" w:space="0"/>
              <w:left w:val="nil"/>
              <w:bottom w:val="single" w:color="auto" w:sz="4" w:space="0"/>
              <w:right w:val="single" w:color="auto" w:sz="4" w:space="0"/>
            </w:tcBorders>
            <w:shd w:val="clear" w:color="auto" w:fill="auto"/>
            <w:noWrap/>
            <w:vAlign w:val="center"/>
          </w:tcPr>
          <w:p>
            <w:pPr>
              <w:pStyle w:val="19"/>
              <w:rPr>
                <w:rFonts w:hint="default" w:eastAsia="仿宋"/>
                <w:highlight w:val="none"/>
                <w:lang w:val="en-US" w:eastAsia="zh-CN"/>
              </w:rPr>
            </w:pPr>
            <w:r>
              <w:rPr>
                <w:rFonts w:hint="eastAsia"/>
                <w:highlight w:val="none"/>
                <w:lang w:val="en-US" w:eastAsia="zh-CN"/>
              </w:rPr>
              <w:t>98</w:t>
            </w:r>
          </w:p>
        </w:tc>
      </w:tr>
    </w:tbl>
    <w:p>
      <w:pPr>
        <w:pStyle w:val="5"/>
      </w:pPr>
      <w:bookmarkStart w:id="44" w:name="_Toc12317"/>
      <w:r>
        <w:rPr>
          <w:rFonts w:hint="eastAsia"/>
        </w:rPr>
        <w:t>（二）自评指标分析</w:t>
      </w:r>
      <w:bookmarkEnd w:id="42"/>
      <w:bookmarkEnd w:id="43"/>
      <w:bookmarkEnd w:id="44"/>
    </w:p>
    <w:p>
      <w:pPr>
        <w:pStyle w:val="6"/>
        <w:ind w:firstLine="643"/>
      </w:pPr>
      <w:bookmarkStart w:id="45" w:name="_Toc9747"/>
      <w:bookmarkStart w:id="46" w:name="_Toc79333446"/>
      <w:r>
        <w:rPr>
          <w:rFonts w:hint="eastAsia"/>
        </w:rPr>
        <w:t>1、预算执行指标分析</w:t>
      </w:r>
      <w:bookmarkEnd w:id="45"/>
      <w:bookmarkEnd w:id="46"/>
    </w:p>
    <w:p>
      <w:pPr>
        <w:ind w:firstLine="640"/>
        <w:rPr>
          <w:highlight w:val="none"/>
        </w:rPr>
      </w:pPr>
      <w:r>
        <w:rPr>
          <w:rFonts w:hint="eastAsia"/>
        </w:rPr>
        <w:t>一级指标“预算执行”下设一个二级指标和一个三级指标，均为“预算执行率”，该指</w:t>
      </w:r>
      <w:r>
        <w:rPr>
          <w:rFonts w:hint="eastAsia"/>
          <w:highlight w:val="none"/>
        </w:rPr>
        <w:t>标标准分值</w:t>
      </w:r>
      <w:r>
        <w:rPr>
          <w:highlight w:val="none"/>
        </w:rPr>
        <w:t>10分，实际得分</w:t>
      </w:r>
      <w:r>
        <w:rPr>
          <w:rFonts w:hint="eastAsia"/>
          <w:highlight w:val="none"/>
          <w:lang w:val="en-US" w:eastAsia="zh-CN"/>
        </w:rPr>
        <w:t>10</w:t>
      </w:r>
      <w:r>
        <w:rPr>
          <w:rFonts w:hint="eastAsia"/>
          <w:highlight w:val="none"/>
        </w:rPr>
        <w:t>分。</w:t>
      </w:r>
    </w:p>
    <w:p>
      <w:pPr>
        <w:ind w:firstLine="640"/>
      </w:pPr>
      <w:r>
        <w:rPr>
          <w:rFonts w:hint="eastAsia"/>
          <w:highlight w:val="none"/>
        </w:rPr>
        <w:t>项目全年预算资金为</w:t>
      </w:r>
      <w:r>
        <w:rPr>
          <w:rFonts w:hint="eastAsia"/>
          <w:highlight w:val="none"/>
          <w:lang w:val="en-US" w:eastAsia="zh-CN"/>
        </w:rPr>
        <w:t>10</w:t>
      </w:r>
      <w:r>
        <w:rPr>
          <w:rFonts w:hint="eastAsia"/>
          <w:highlight w:val="none"/>
        </w:rPr>
        <w:t>万元，全年执行数为</w:t>
      </w:r>
      <w:r>
        <w:rPr>
          <w:rFonts w:hint="eastAsia"/>
          <w:highlight w:val="none"/>
          <w:lang w:val="en-US" w:eastAsia="zh-CN"/>
        </w:rPr>
        <w:t>10</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6"/>
        <w:ind w:firstLine="643"/>
      </w:pPr>
      <w:bookmarkStart w:id="47" w:name="_Toc79333447"/>
      <w:r>
        <w:rPr>
          <w:rFonts w:hint="eastAsia"/>
        </w:rPr>
        <w:t>2、产出指标分析</w:t>
      </w:r>
      <w:bookmarkEnd w:id="47"/>
    </w:p>
    <w:p>
      <w:pPr>
        <w:ind w:firstLine="640"/>
      </w:pPr>
      <w:r>
        <w:rPr>
          <w:rFonts w:hint="eastAsia"/>
        </w:rPr>
        <w:t>一级指标“产出指标”下设</w:t>
      </w:r>
      <w:r>
        <w:rPr>
          <w:rFonts w:hint="eastAsia"/>
          <w:lang w:val="en-US" w:eastAsia="zh-CN"/>
        </w:rPr>
        <w:t>四</w:t>
      </w:r>
      <w:r>
        <w:rPr>
          <w:rFonts w:hint="eastAsia"/>
        </w:rPr>
        <w:t>个二级指标：</w:t>
      </w:r>
      <w:r>
        <w:rPr>
          <w:rFonts w:hint="eastAsia"/>
          <w:lang w:eastAsia="zh-CN"/>
        </w:rPr>
        <w:t>“</w:t>
      </w:r>
      <w:r>
        <w:rPr>
          <w:rFonts w:hint="eastAsia"/>
          <w:lang w:val="en-US" w:eastAsia="zh-CN"/>
        </w:rPr>
        <w:t>数量指标</w:t>
      </w:r>
      <w:r>
        <w:rPr>
          <w:rFonts w:hint="eastAsia"/>
          <w:lang w:eastAsia="zh-CN"/>
        </w:rPr>
        <w:t>”、“</w:t>
      </w:r>
      <w:r>
        <w:rPr>
          <w:rFonts w:hint="eastAsia"/>
          <w:lang w:val="en-US" w:eastAsia="zh-CN"/>
        </w:rPr>
        <w:t>质量指标</w:t>
      </w:r>
      <w:r>
        <w:rPr>
          <w:rFonts w:hint="eastAsia"/>
          <w:lang w:eastAsia="zh-CN"/>
        </w:rPr>
        <w:t>”、“</w:t>
      </w:r>
      <w:r>
        <w:rPr>
          <w:rFonts w:hint="eastAsia"/>
          <w:lang w:val="en-US" w:eastAsia="zh-CN"/>
        </w:rPr>
        <w:t>时效指标</w:t>
      </w:r>
      <w:r>
        <w:rPr>
          <w:rFonts w:hint="eastAsia"/>
          <w:lang w:eastAsia="zh-CN"/>
        </w:rPr>
        <w:t>”、</w:t>
      </w:r>
      <w:r>
        <w:rPr>
          <w:rFonts w:hint="eastAsia"/>
        </w:rPr>
        <w:t>“成本指标”。</w:t>
      </w:r>
    </w:p>
    <w:p>
      <w:pPr>
        <w:numPr>
          <w:ilvl w:val="0"/>
          <w:numId w:val="2"/>
        </w:numPr>
        <w:ind w:firstLine="640"/>
        <w:rPr>
          <w:rFonts w:hint="eastAsia"/>
          <w:lang w:val="en-US" w:eastAsia="zh-CN"/>
        </w:rPr>
      </w:pPr>
      <w:r>
        <w:rPr>
          <w:rFonts w:hint="eastAsia"/>
          <w:lang w:val="en-US" w:eastAsia="zh-CN"/>
        </w:rPr>
        <w:t>数量指标</w:t>
      </w:r>
    </w:p>
    <w:p>
      <w:pPr>
        <w:ind w:firstLine="640"/>
        <w:rPr>
          <w:rFonts w:hint="eastAsia"/>
          <w:lang w:val="en-US" w:eastAsia="zh-CN"/>
        </w:rPr>
      </w:pPr>
      <w:r>
        <w:rPr>
          <w:rFonts w:hint="eastAsia"/>
          <w:lang w:val="en-US" w:eastAsia="zh-CN"/>
        </w:rPr>
        <w:t>“数量指标”下设二个三级指标“维护宗教界代表人士”及“成立行动调研指导组”。</w:t>
      </w:r>
    </w:p>
    <w:p>
      <w:pPr>
        <w:ind w:firstLine="640"/>
        <w:rPr>
          <w:rFonts w:hint="eastAsia"/>
          <w:highlight w:val="none"/>
          <w:lang w:eastAsia="zh-CN"/>
        </w:rPr>
      </w:pPr>
      <w:r>
        <w:rPr>
          <w:rFonts w:hint="eastAsia"/>
          <w:highlight w:val="none"/>
          <w:lang w:val="en-US" w:eastAsia="zh-CN"/>
        </w:rPr>
        <w:t>为团结联系民族宗教界代表人士，发挥代表人士作用，维护民族和睦、宗教稳定，</w:t>
      </w:r>
      <w:r>
        <w:rPr>
          <w:rFonts w:hint="eastAsia"/>
          <w:lang w:val="en-US" w:eastAsia="zh-CN"/>
        </w:rPr>
        <w:t>向18名宗教界代表人士发放补助，</w:t>
      </w:r>
      <w:r>
        <w:rPr>
          <w:rFonts w:hint="eastAsia"/>
          <w:highlight w:val="none"/>
        </w:rPr>
        <w:t>因此该项指标标准分值</w:t>
      </w:r>
      <w:r>
        <w:rPr>
          <w:rFonts w:hint="eastAsia"/>
          <w:highlight w:val="none"/>
          <w:lang w:val="en-US" w:eastAsia="zh-CN"/>
        </w:rPr>
        <w:t>6</w:t>
      </w:r>
      <w:r>
        <w:rPr>
          <w:rFonts w:hint="eastAsia"/>
          <w:highlight w:val="none"/>
        </w:rPr>
        <w:t>分，得</w:t>
      </w:r>
      <w:r>
        <w:rPr>
          <w:rFonts w:hint="eastAsia"/>
          <w:highlight w:val="none"/>
          <w:lang w:val="en-US" w:eastAsia="zh-CN"/>
        </w:rPr>
        <w:t>6</w:t>
      </w:r>
      <w:r>
        <w:rPr>
          <w:rFonts w:hint="eastAsia"/>
          <w:highlight w:val="none"/>
        </w:rPr>
        <w:t>分</w:t>
      </w:r>
      <w:r>
        <w:rPr>
          <w:rFonts w:hint="eastAsia"/>
          <w:highlight w:val="none"/>
          <w:lang w:eastAsia="zh-CN"/>
        </w:rPr>
        <w:t>。</w:t>
      </w:r>
    </w:p>
    <w:p>
      <w:pPr>
        <w:ind w:firstLine="640"/>
        <w:rPr>
          <w:rFonts w:hint="default"/>
          <w:highlight w:val="none"/>
          <w:lang w:val="en-US" w:eastAsia="zh-CN"/>
        </w:rPr>
      </w:pPr>
      <w:r>
        <w:rPr>
          <w:rFonts w:hint="eastAsia"/>
          <w:highlight w:val="none"/>
          <w:lang w:val="en-US" w:eastAsia="zh-CN"/>
        </w:rPr>
        <w:t>为做好宗教依法治理工作，解决民族宗教领域突出问题，引导宗教与社会主义相适应，实现民族宗教领域和谐稳定，组织成立行动调研指导组三个，</w:t>
      </w:r>
      <w:r>
        <w:rPr>
          <w:rFonts w:hint="eastAsia"/>
          <w:highlight w:val="none"/>
        </w:rPr>
        <w:t>因此该项指标标准分值</w:t>
      </w:r>
      <w:r>
        <w:rPr>
          <w:rFonts w:hint="eastAsia"/>
          <w:highlight w:val="none"/>
          <w:lang w:val="en-US" w:eastAsia="zh-CN"/>
        </w:rPr>
        <w:t>6</w:t>
      </w:r>
      <w:r>
        <w:rPr>
          <w:rFonts w:hint="eastAsia"/>
          <w:highlight w:val="none"/>
        </w:rPr>
        <w:t>分，得</w:t>
      </w:r>
      <w:r>
        <w:rPr>
          <w:rFonts w:hint="eastAsia"/>
          <w:highlight w:val="none"/>
          <w:lang w:val="en-US" w:eastAsia="zh-CN"/>
        </w:rPr>
        <w:t>6</w:t>
      </w:r>
      <w:r>
        <w:rPr>
          <w:rFonts w:hint="eastAsia"/>
          <w:highlight w:val="none"/>
        </w:rPr>
        <w:t>分</w:t>
      </w:r>
      <w:r>
        <w:rPr>
          <w:rFonts w:hint="eastAsia"/>
          <w:highlight w:val="none"/>
          <w:lang w:eastAsia="zh-CN"/>
        </w:rPr>
        <w:t>。</w:t>
      </w:r>
    </w:p>
    <w:p>
      <w:pPr>
        <w:ind w:firstLine="640"/>
        <w:rPr>
          <w:highlight w:val="none"/>
        </w:rPr>
      </w:pPr>
      <w:r>
        <w:rPr>
          <w:rFonts w:hint="eastAsia"/>
          <w:highlight w:val="none"/>
        </w:rPr>
        <w:t>综上所述，根据评分标准，数量指标实际得</w:t>
      </w:r>
      <w:r>
        <w:rPr>
          <w:rFonts w:hint="eastAsia"/>
          <w:highlight w:val="none"/>
          <w:lang w:val="en-US" w:eastAsia="zh-CN"/>
        </w:rPr>
        <w:t>12</w:t>
      </w:r>
      <w:r>
        <w:rPr>
          <w:highlight w:val="none"/>
        </w:rPr>
        <w:t>分。</w:t>
      </w:r>
    </w:p>
    <w:p>
      <w:pPr>
        <w:numPr>
          <w:ilvl w:val="0"/>
          <w:numId w:val="2"/>
        </w:numPr>
        <w:ind w:firstLine="640"/>
        <w:rPr>
          <w:highlight w:val="none"/>
        </w:rPr>
      </w:pPr>
      <w:r>
        <w:rPr>
          <w:rFonts w:hint="eastAsia"/>
          <w:highlight w:val="none"/>
        </w:rPr>
        <w:t>质量指标</w:t>
      </w:r>
    </w:p>
    <w:p>
      <w:pPr>
        <w:ind w:firstLine="640"/>
        <w:rPr>
          <w:rFonts w:hint="eastAsia"/>
          <w:highlight w:val="none"/>
          <w:lang w:val="en-US" w:eastAsia="zh-CN"/>
        </w:rPr>
      </w:pPr>
      <w:r>
        <w:rPr>
          <w:rFonts w:hint="eastAsia"/>
          <w:highlight w:val="none"/>
          <w:lang w:val="en-US" w:eastAsia="zh-CN"/>
        </w:rPr>
        <w:t>“质量指标”下设二个三级指标“宗教代表人士补助发放完成率”和“开展“一三三四”专项行动完成率”。</w:t>
      </w:r>
    </w:p>
    <w:p>
      <w:pPr>
        <w:ind w:firstLine="640"/>
        <w:rPr>
          <w:rFonts w:hint="eastAsia"/>
          <w:highlight w:val="none"/>
          <w:lang w:eastAsia="zh-CN"/>
        </w:rPr>
      </w:pPr>
      <w:r>
        <w:rPr>
          <w:rFonts w:hint="eastAsia"/>
          <w:highlight w:val="none"/>
          <w:lang w:val="en-US" w:eastAsia="zh-CN"/>
        </w:rPr>
        <w:t>向18名宗教界代表人士发放工作已完成，</w:t>
      </w:r>
      <w:r>
        <w:rPr>
          <w:rFonts w:hint="eastAsia"/>
          <w:highlight w:val="none"/>
        </w:rPr>
        <w:t>因此该项指标标准分值</w:t>
      </w:r>
      <w:r>
        <w:rPr>
          <w:rFonts w:hint="eastAsia"/>
          <w:highlight w:val="none"/>
          <w:lang w:val="en-US" w:eastAsia="zh-CN"/>
        </w:rPr>
        <w:t>6</w:t>
      </w:r>
      <w:r>
        <w:rPr>
          <w:rFonts w:hint="eastAsia"/>
          <w:highlight w:val="none"/>
        </w:rPr>
        <w:t>分，得</w:t>
      </w:r>
      <w:r>
        <w:rPr>
          <w:rFonts w:hint="eastAsia"/>
          <w:highlight w:val="none"/>
          <w:lang w:val="en-US" w:eastAsia="zh-CN"/>
        </w:rPr>
        <w:t>6</w:t>
      </w:r>
      <w:r>
        <w:rPr>
          <w:rFonts w:hint="eastAsia"/>
          <w:highlight w:val="none"/>
        </w:rPr>
        <w:t>分</w:t>
      </w:r>
      <w:r>
        <w:rPr>
          <w:rFonts w:hint="eastAsia"/>
          <w:highlight w:val="none"/>
          <w:lang w:eastAsia="zh-CN"/>
        </w:rPr>
        <w:t>。</w:t>
      </w:r>
    </w:p>
    <w:p>
      <w:pPr>
        <w:ind w:firstLine="640"/>
        <w:rPr>
          <w:rFonts w:hint="default"/>
          <w:highlight w:val="none"/>
          <w:lang w:val="en-US" w:eastAsia="zh-CN"/>
        </w:rPr>
      </w:pPr>
      <w:r>
        <w:rPr>
          <w:rFonts w:hint="eastAsia"/>
          <w:highlight w:val="none"/>
          <w:lang w:val="en-US" w:eastAsia="zh-CN"/>
        </w:rPr>
        <w:t>开展“一三三四”专项行动总体工作完成。</w:t>
      </w:r>
      <w:r>
        <w:rPr>
          <w:rFonts w:hint="eastAsia"/>
          <w:highlight w:val="none"/>
        </w:rPr>
        <w:t>因此该项指标标准分值</w:t>
      </w:r>
      <w:r>
        <w:rPr>
          <w:rFonts w:hint="eastAsia"/>
          <w:highlight w:val="none"/>
          <w:lang w:val="en-US" w:eastAsia="zh-CN"/>
        </w:rPr>
        <w:t>6</w:t>
      </w:r>
      <w:r>
        <w:rPr>
          <w:rFonts w:hint="eastAsia"/>
          <w:highlight w:val="none"/>
        </w:rPr>
        <w:t>分，得</w:t>
      </w:r>
      <w:r>
        <w:rPr>
          <w:rFonts w:hint="eastAsia"/>
          <w:highlight w:val="none"/>
          <w:lang w:val="en-US" w:eastAsia="zh-CN"/>
        </w:rPr>
        <w:t>6</w:t>
      </w:r>
      <w:r>
        <w:rPr>
          <w:rFonts w:hint="eastAsia"/>
          <w:highlight w:val="none"/>
        </w:rPr>
        <w:t>分</w:t>
      </w:r>
      <w:r>
        <w:rPr>
          <w:rFonts w:hint="eastAsia"/>
          <w:highlight w:val="none"/>
          <w:lang w:eastAsia="zh-CN"/>
        </w:rPr>
        <w:t>。</w:t>
      </w:r>
    </w:p>
    <w:p>
      <w:pPr>
        <w:ind w:firstLine="640"/>
        <w:rPr>
          <w:highlight w:val="none"/>
        </w:rPr>
      </w:pPr>
      <w:r>
        <w:rPr>
          <w:rFonts w:hint="eastAsia"/>
          <w:highlight w:val="none"/>
        </w:rPr>
        <w:t>综上所述，根据评分标准，</w:t>
      </w:r>
      <w:r>
        <w:rPr>
          <w:rFonts w:hint="eastAsia"/>
          <w:highlight w:val="none"/>
          <w:lang w:val="en-US" w:eastAsia="zh-CN"/>
        </w:rPr>
        <w:t>质量</w:t>
      </w:r>
      <w:r>
        <w:rPr>
          <w:rFonts w:hint="eastAsia"/>
          <w:highlight w:val="none"/>
        </w:rPr>
        <w:t>指标实际得</w:t>
      </w:r>
      <w:r>
        <w:rPr>
          <w:rFonts w:hint="eastAsia"/>
          <w:highlight w:val="none"/>
          <w:lang w:val="en-US" w:eastAsia="zh-CN"/>
        </w:rPr>
        <w:t>12</w:t>
      </w:r>
      <w:r>
        <w:rPr>
          <w:highlight w:val="none"/>
        </w:rPr>
        <w:t>分。</w:t>
      </w:r>
    </w:p>
    <w:p>
      <w:pPr>
        <w:numPr>
          <w:ilvl w:val="0"/>
          <w:numId w:val="2"/>
        </w:numPr>
        <w:ind w:firstLine="640"/>
        <w:rPr>
          <w:highlight w:val="none"/>
        </w:rPr>
      </w:pPr>
      <w:r>
        <w:rPr>
          <w:rFonts w:hint="eastAsia"/>
          <w:highlight w:val="none"/>
        </w:rPr>
        <w:t>时效指标</w:t>
      </w:r>
    </w:p>
    <w:p>
      <w:pPr>
        <w:ind w:firstLine="640"/>
        <w:rPr>
          <w:highlight w:val="none"/>
        </w:rPr>
      </w:pPr>
      <w:r>
        <w:rPr>
          <w:rFonts w:hint="eastAsia"/>
          <w:highlight w:val="none"/>
          <w:lang w:val="en-US" w:eastAsia="zh-CN"/>
        </w:rPr>
        <w:t>“时效指标”下设两个三级指标“宗教代表人士补助发放及时性”和“开展“一三三四”专项行动及时性”。</w:t>
      </w:r>
    </w:p>
    <w:p>
      <w:pPr>
        <w:ind w:firstLine="640"/>
        <w:rPr>
          <w:rFonts w:hint="eastAsia"/>
          <w:highlight w:val="none"/>
          <w:lang w:eastAsia="zh-CN"/>
        </w:rPr>
      </w:pPr>
      <w:r>
        <w:rPr>
          <w:rFonts w:hint="eastAsia"/>
          <w:highlight w:val="none"/>
          <w:lang w:val="en-US" w:eastAsia="zh-CN"/>
        </w:rPr>
        <w:t>截止2021年底，完成向18名宗教界代表人士发放工作，</w:t>
      </w:r>
      <w:r>
        <w:rPr>
          <w:rFonts w:hint="eastAsia"/>
          <w:highlight w:val="none"/>
        </w:rPr>
        <w:t>因此该项指标标准分值</w:t>
      </w:r>
      <w:r>
        <w:rPr>
          <w:rFonts w:hint="eastAsia"/>
          <w:highlight w:val="none"/>
          <w:lang w:val="en-US" w:eastAsia="zh-CN"/>
        </w:rPr>
        <w:t>6</w:t>
      </w:r>
      <w:r>
        <w:rPr>
          <w:rFonts w:hint="eastAsia"/>
          <w:highlight w:val="none"/>
        </w:rPr>
        <w:t>分，得</w:t>
      </w:r>
      <w:r>
        <w:rPr>
          <w:rFonts w:hint="eastAsia"/>
          <w:highlight w:val="none"/>
          <w:lang w:val="en-US" w:eastAsia="zh-CN"/>
        </w:rPr>
        <w:t>6</w:t>
      </w:r>
      <w:r>
        <w:rPr>
          <w:rFonts w:hint="eastAsia"/>
          <w:highlight w:val="none"/>
        </w:rPr>
        <w:t>分</w:t>
      </w:r>
      <w:r>
        <w:rPr>
          <w:rFonts w:hint="eastAsia"/>
          <w:highlight w:val="none"/>
          <w:lang w:eastAsia="zh-CN"/>
        </w:rPr>
        <w:t>。</w:t>
      </w:r>
    </w:p>
    <w:p>
      <w:pPr>
        <w:ind w:firstLine="640"/>
        <w:rPr>
          <w:rFonts w:hint="default"/>
          <w:highlight w:val="none"/>
          <w:lang w:val="en-US" w:eastAsia="zh-CN"/>
        </w:rPr>
      </w:pPr>
      <w:r>
        <w:rPr>
          <w:rFonts w:hint="eastAsia"/>
          <w:highlight w:val="none"/>
          <w:lang w:val="en-US" w:eastAsia="zh-CN"/>
        </w:rPr>
        <w:t>因疫情原因，开展“一三三四”专项行动存在推迟状况。</w:t>
      </w:r>
      <w:r>
        <w:rPr>
          <w:rFonts w:hint="eastAsia"/>
          <w:highlight w:val="none"/>
        </w:rPr>
        <w:t>因此该项指标标准分值</w:t>
      </w:r>
      <w:r>
        <w:rPr>
          <w:rFonts w:hint="eastAsia"/>
          <w:highlight w:val="none"/>
          <w:lang w:val="en-US" w:eastAsia="zh-CN"/>
        </w:rPr>
        <w:t>6</w:t>
      </w:r>
      <w:r>
        <w:rPr>
          <w:rFonts w:hint="eastAsia"/>
          <w:highlight w:val="none"/>
        </w:rPr>
        <w:t>分，得</w:t>
      </w:r>
      <w:r>
        <w:rPr>
          <w:rFonts w:hint="eastAsia"/>
          <w:highlight w:val="none"/>
          <w:lang w:val="en-US" w:eastAsia="zh-CN"/>
        </w:rPr>
        <w:t>4</w:t>
      </w:r>
      <w:r>
        <w:rPr>
          <w:rFonts w:hint="eastAsia"/>
          <w:highlight w:val="none"/>
        </w:rPr>
        <w:t>分</w:t>
      </w:r>
      <w:r>
        <w:rPr>
          <w:rFonts w:hint="eastAsia"/>
          <w:highlight w:val="none"/>
          <w:lang w:eastAsia="zh-CN"/>
        </w:rPr>
        <w:t>。</w:t>
      </w:r>
    </w:p>
    <w:p>
      <w:pPr>
        <w:ind w:firstLine="640"/>
        <w:rPr>
          <w:highlight w:val="none"/>
        </w:rPr>
      </w:pPr>
      <w:r>
        <w:rPr>
          <w:rFonts w:hint="eastAsia"/>
          <w:highlight w:val="none"/>
        </w:rPr>
        <w:t>综上所述，根据评分标准，</w:t>
      </w:r>
      <w:r>
        <w:rPr>
          <w:rFonts w:hint="eastAsia"/>
          <w:highlight w:val="none"/>
          <w:lang w:val="en-US" w:eastAsia="zh-CN"/>
        </w:rPr>
        <w:t>时效</w:t>
      </w:r>
      <w:r>
        <w:rPr>
          <w:rFonts w:hint="eastAsia"/>
          <w:highlight w:val="none"/>
        </w:rPr>
        <w:t>指标实际得</w:t>
      </w:r>
      <w:r>
        <w:rPr>
          <w:rFonts w:hint="eastAsia"/>
          <w:highlight w:val="none"/>
          <w:lang w:val="en-US" w:eastAsia="zh-CN"/>
        </w:rPr>
        <w:t>10</w:t>
      </w:r>
      <w:r>
        <w:rPr>
          <w:highlight w:val="none"/>
        </w:rPr>
        <w:t>分。</w:t>
      </w:r>
    </w:p>
    <w:p>
      <w:pPr>
        <w:numPr>
          <w:ilvl w:val="0"/>
          <w:numId w:val="2"/>
        </w:numPr>
        <w:ind w:firstLine="640"/>
        <w:rPr>
          <w:highlight w:val="none"/>
        </w:rPr>
      </w:pPr>
      <w:r>
        <w:rPr>
          <w:rFonts w:hint="eastAsia"/>
          <w:highlight w:val="none"/>
        </w:rPr>
        <w:t>成本指标</w:t>
      </w:r>
    </w:p>
    <w:p>
      <w:pPr>
        <w:ind w:firstLine="640"/>
        <w:rPr>
          <w:rFonts w:hint="eastAsia"/>
          <w:highlight w:val="none"/>
          <w:lang w:val="en-US" w:eastAsia="zh-CN"/>
        </w:rPr>
      </w:pPr>
      <w:r>
        <w:rPr>
          <w:rFonts w:hint="eastAsia"/>
          <w:highlight w:val="none"/>
          <w:lang w:val="en-US" w:eastAsia="zh-CN"/>
        </w:rPr>
        <w:t>“成本指标”下设两个三级指标“宗教代表人士补助”和“开展‘一三三四’专项行动”。</w:t>
      </w:r>
    </w:p>
    <w:p>
      <w:pPr>
        <w:ind w:firstLine="640"/>
        <w:rPr>
          <w:rFonts w:hint="eastAsia"/>
          <w:highlight w:val="none"/>
          <w:lang w:eastAsia="zh-CN"/>
        </w:rPr>
      </w:pPr>
      <w:r>
        <w:rPr>
          <w:rFonts w:hint="eastAsia"/>
          <w:highlight w:val="none"/>
          <w:lang w:val="en-US" w:eastAsia="zh-CN"/>
        </w:rPr>
        <w:t>向18名宗教界代表人士已完成足额发放且未超预算，</w:t>
      </w:r>
      <w:r>
        <w:rPr>
          <w:rFonts w:hint="eastAsia"/>
          <w:highlight w:val="none"/>
        </w:rPr>
        <w:t>因此该项指标标准分值</w:t>
      </w:r>
      <w:r>
        <w:rPr>
          <w:rFonts w:hint="eastAsia"/>
          <w:highlight w:val="none"/>
          <w:lang w:val="en-US" w:eastAsia="zh-CN"/>
        </w:rPr>
        <w:t>7</w:t>
      </w:r>
      <w:r>
        <w:rPr>
          <w:rFonts w:hint="eastAsia"/>
          <w:highlight w:val="none"/>
        </w:rPr>
        <w:t>分，得</w:t>
      </w:r>
      <w:r>
        <w:rPr>
          <w:rFonts w:hint="eastAsia"/>
          <w:highlight w:val="none"/>
          <w:lang w:val="en-US" w:eastAsia="zh-CN"/>
        </w:rPr>
        <w:t>7</w:t>
      </w:r>
      <w:r>
        <w:rPr>
          <w:rFonts w:hint="eastAsia"/>
          <w:highlight w:val="none"/>
        </w:rPr>
        <w:t>分</w:t>
      </w:r>
      <w:r>
        <w:rPr>
          <w:rFonts w:hint="eastAsia"/>
          <w:highlight w:val="none"/>
          <w:lang w:eastAsia="zh-CN"/>
        </w:rPr>
        <w:t>。</w:t>
      </w:r>
    </w:p>
    <w:p>
      <w:pPr>
        <w:ind w:firstLine="640"/>
        <w:rPr>
          <w:rFonts w:hint="eastAsia"/>
          <w:highlight w:val="none"/>
          <w:lang w:eastAsia="zh-CN"/>
        </w:rPr>
      </w:pPr>
      <w:r>
        <w:rPr>
          <w:rFonts w:hint="eastAsia"/>
          <w:highlight w:val="none"/>
          <w:lang w:val="en-US" w:eastAsia="zh-CN"/>
        </w:rPr>
        <w:t>“一三三四”专项行动工作未超预算</w:t>
      </w:r>
      <w:r>
        <w:rPr>
          <w:rFonts w:hint="eastAsia"/>
          <w:highlight w:val="none"/>
          <w:lang w:eastAsia="zh-CN"/>
        </w:rPr>
        <w:t>。</w:t>
      </w:r>
      <w:r>
        <w:rPr>
          <w:rFonts w:hint="eastAsia"/>
          <w:highlight w:val="none"/>
        </w:rPr>
        <w:t>因此该项指标标准分值</w:t>
      </w:r>
      <w:r>
        <w:rPr>
          <w:rFonts w:hint="eastAsia"/>
          <w:highlight w:val="none"/>
          <w:lang w:val="en-US" w:eastAsia="zh-CN"/>
        </w:rPr>
        <w:t>7</w:t>
      </w:r>
      <w:r>
        <w:rPr>
          <w:rFonts w:hint="eastAsia"/>
          <w:highlight w:val="none"/>
        </w:rPr>
        <w:t>分，得</w:t>
      </w:r>
      <w:r>
        <w:rPr>
          <w:rFonts w:hint="eastAsia"/>
          <w:highlight w:val="none"/>
          <w:lang w:val="en-US" w:eastAsia="zh-CN"/>
        </w:rPr>
        <w:t>7</w:t>
      </w:r>
      <w:r>
        <w:rPr>
          <w:rFonts w:hint="eastAsia"/>
          <w:highlight w:val="none"/>
        </w:rPr>
        <w:t>分</w:t>
      </w:r>
      <w:r>
        <w:rPr>
          <w:rFonts w:hint="eastAsia"/>
          <w:highlight w:val="none"/>
          <w:lang w:eastAsia="zh-CN"/>
        </w:rPr>
        <w:t>。</w:t>
      </w:r>
    </w:p>
    <w:p>
      <w:pPr>
        <w:ind w:firstLine="640"/>
        <w:rPr>
          <w:rFonts w:hint="eastAsia"/>
          <w:highlight w:val="none"/>
          <w:lang w:val="en-US" w:eastAsia="zh-CN"/>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10</w:t>
      </w:r>
      <w:r>
        <w:rPr>
          <w:rFonts w:hint="eastAsia"/>
          <w:highlight w:val="none"/>
        </w:rPr>
        <w:t>万元，实际支出</w:t>
      </w:r>
      <w:r>
        <w:rPr>
          <w:rFonts w:hint="eastAsia"/>
          <w:highlight w:val="none"/>
          <w:lang w:val="en-US" w:eastAsia="zh-CN"/>
        </w:rPr>
        <w:t>10</w:t>
      </w:r>
      <w:r>
        <w:rPr>
          <w:highlight w:val="none"/>
        </w:rPr>
        <w:t>万元</w:t>
      </w:r>
      <w:r>
        <w:rPr>
          <w:rFonts w:hint="eastAsia"/>
          <w:highlight w:val="none"/>
        </w:rPr>
        <w:t>，未超出预算批复金额</w:t>
      </w:r>
      <w:r>
        <w:rPr>
          <w:rFonts w:hint="eastAsia"/>
          <w:highlight w:val="none"/>
          <w:lang w:eastAsia="zh-CN"/>
        </w:rPr>
        <w:t>。</w:t>
      </w:r>
    </w:p>
    <w:p>
      <w:pPr>
        <w:ind w:firstLine="640"/>
      </w:pPr>
      <w:r>
        <w:rPr>
          <w:rFonts w:hint="eastAsia"/>
          <w:highlight w:val="none"/>
        </w:rPr>
        <w:t>综上所述，根据评分标准，</w:t>
      </w:r>
      <w:r>
        <w:rPr>
          <w:rFonts w:hint="eastAsia"/>
          <w:highlight w:val="none"/>
          <w:lang w:val="en-US" w:eastAsia="zh-CN"/>
        </w:rPr>
        <w:t>成本</w:t>
      </w:r>
      <w:r>
        <w:rPr>
          <w:rFonts w:hint="eastAsia"/>
          <w:highlight w:val="none"/>
        </w:rPr>
        <w:t>指标实际得</w:t>
      </w:r>
      <w:r>
        <w:rPr>
          <w:rFonts w:hint="eastAsia"/>
          <w:highlight w:val="none"/>
          <w:lang w:val="en-US" w:eastAsia="zh-CN"/>
        </w:rPr>
        <w:t>14</w:t>
      </w:r>
      <w:r>
        <w:rPr>
          <w:highlight w:val="none"/>
        </w:rPr>
        <w:t>分。</w:t>
      </w:r>
    </w:p>
    <w:p>
      <w:pPr>
        <w:pStyle w:val="6"/>
        <w:ind w:firstLine="643"/>
      </w:pPr>
      <w:bookmarkStart w:id="48" w:name="_Toc79333448"/>
      <w:r>
        <w:t>3、效益指标分析</w:t>
      </w:r>
      <w:bookmarkEnd w:id="48"/>
    </w:p>
    <w:p>
      <w:pPr>
        <w:ind w:firstLine="640"/>
        <w:rPr>
          <w:rFonts w:hint="eastAsia"/>
          <w:highlight w:val="none"/>
          <w:lang w:eastAsia="zh-CN"/>
        </w:rPr>
      </w:pPr>
      <w:r>
        <w:rPr>
          <w:rFonts w:hint="eastAsia"/>
          <w:highlight w:val="none"/>
        </w:rPr>
        <w:t>“效益指标”下设</w:t>
      </w:r>
      <w:r>
        <w:rPr>
          <w:rFonts w:hint="eastAsia"/>
          <w:highlight w:val="none"/>
          <w:lang w:val="en-US" w:eastAsia="zh-CN"/>
        </w:rPr>
        <w:t>两</w:t>
      </w:r>
      <w:r>
        <w:rPr>
          <w:rFonts w:hint="eastAsia"/>
          <w:highlight w:val="none"/>
        </w:rPr>
        <w:t>个二级指标为“社会效益</w:t>
      </w:r>
      <w:r>
        <w:rPr>
          <w:rFonts w:hint="eastAsia"/>
          <w:highlight w:val="none"/>
          <w:lang w:val="en-US" w:eastAsia="zh-CN"/>
        </w:rPr>
        <w:t>指标</w:t>
      </w:r>
      <w:r>
        <w:rPr>
          <w:rFonts w:hint="eastAsia"/>
          <w:highlight w:val="none"/>
        </w:rPr>
        <w:t>”</w:t>
      </w:r>
      <w:r>
        <w:rPr>
          <w:rFonts w:hint="eastAsia"/>
          <w:highlight w:val="none"/>
          <w:lang w:val="en-US" w:eastAsia="zh-CN"/>
        </w:rPr>
        <w:t>和“可持续影响指标”</w:t>
      </w:r>
      <w:r>
        <w:rPr>
          <w:rFonts w:hint="eastAsia"/>
          <w:highlight w:val="none"/>
          <w:lang w:eastAsia="zh-CN"/>
        </w:rPr>
        <w:t>。</w:t>
      </w:r>
    </w:p>
    <w:p>
      <w:pPr>
        <w:ind w:firstLine="640"/>
        <w:rPr>
          <w:rFonts w:hint="eastAsia" w:eastAsia="仿宋"/>
          <w:lang w:val="en-US" w:eastAsia="zh-CN"/>
        </w:rPr>
      </w:pPr>
      <w:r>
        <w:rPr>
          <w:rFonts w:hint="eastAsia"/>
        </w:rPr>
        <w:t>（</w:t>
      </w:r>
      <w:r>
        <w:t>1</w:t>
      </w:r>
      <w:r>
        <w:rPr>
          <w:rFonts w:hint="eastAsia"/>
        </w:rPr>
        <w:t>）社会效益</w:t>
      </w:r>
      <w:r>
        <w:rPr>
          <w:rFonts w:hint="eastAsia"/>
          <w:lang w:val="en-US" w:eastAsia="zh-CN"/>
        </w:rPr>
        <w:t>指标</w:t>
      </w:r>
    </w:p>
    <w:p>
      <w:pPr>
        <w:ind w:firstLine="640"/>
        <w:rPr>
          <w:highlight w:val="none"/>
        </w:rPr>
      </w:pPr>
      <w:r>
        <w:rPr>
          <w:rFonts w:hint="eastAsia"/>
          <w:highlight w:val="none"/>
        </w:rPr>
        <w:t>“社会效益</w:t>
      </w:r>
      <w:r>
        <w:rPr>
          <w:rFonts w:hint="eastAsia"/>
          <w:highlight w:val="none"/>
          <w:lang w:val="en-US" w:eastAsia="zh-CN"/>
        </w:rPr>
        <w:t>指标</w:t>
      </w:r>
      <w:r>
        <w:rPr>
          <w:rFonts w:hint="eastAsia"/>
          <w:highlight w:val="none"/>
        </w:rPr>
        <w:t>”下设三级指标“</w:t>
      </w:r>
      <w:r>
        <w:rPr>
          <w:rFonts w:hint="eastAsia"/>
          <w:highlight w:val="none"/>
          <w:lang w:val="en-US" w:eastAsia="zh-CN"/>
        </w:rPr>
        <w:t>民族宗教领域和谐稳定</w:t>
      </w:r>
      <w:r>
        <w:rPr>
          <w:rFonts w:hint="eastAsia"/>
          <w:highlight w:val="none"/>
        </w:rPr>
        <w:t>”。</w:t>
      </w:r>
    </w:p>
    <w:p>
      <w:pPr>
        <w:ind w:firstLine="640"/>
        <w:rPr>
          <w:rFonts w:hint="eastAsia"/>
          <w:highlight w:val="none"/>
        </w:rPr>
      </w:pPr>
      <w:r>
        <w:rPr>
          <w:rFonts w:hint="eastAsia" w:ascii="仿宋" w:hAnsi="仿宋" w:eastAsia="仿宋" w:cstheme="minorBidi"/>
          <w:kern w:val="2"/>
          <w:sz w:val="32"/>
          <w:szCs w:val="32"/>
          <w:highlight w:val="none"/>
          <w:lang w:val="en-US" w:eastAsia="zh-CN" w:bidi="ar-SA"/>
        </w:rPr>
        <w:t>本项目的实施团结联系民族宗教界代表人士，发挥代表人士作用，维护民族和睦、宗教稳定。</w:t>
      </w:r>
      <w:r>
        <w:rPr>
          <w:rFonts w:hint="eastAsia"/>
          <w:highlight w:val="none"/>
        </w:rPr>
        <w:t>该指标标准分值为</w:t>
      </w:r>
      <w:r>
        <w:rPr>
          <w:rFonts w:hint="eastAsia"/>
          <w:highlight w:val="none"/>
          <w:lang w:val="en-US" w:eastAsia="zh-CN"/>
        </w:rPr>
        <w:t>15</w:t>
      </w:r>
      <w:r>
        <w:rPr>
          <w:rFonts w:hint="eastAsia"/>
          <w:highlight w:val="none"/>
        </w:rPr>
        <w:t>分，实际综合得分为</w:t>
      </w:r>
      <w:r>
        <w:rPr>
          <w:rFonts w:hint="eastAsia"/>
          <w:highlight w:val="none"/>
          <w:lang w:val="en-US" w:eastAsia="zh-CN"/>
        </w:rPr>
        <w:t>15</w:t>
      </w:r>
      <w:r>
        <w:rPr>
          <w:rFonts w:hint="eastAsia"/>
          <w:highlight w:val="none"/>
        </w:rPr>
        <w:t>分。</w:t>
      </w:r>
    </w:p>
    <w:p>
      <w:pPr>
        <w:ind w:firstLine="640"/>
        <w:rPr>
          <w:rFonts w:hint="eastAsia" w:eastAsia="仿宋"/>
          <w:lang w:val="en-US" w:eastAsia="zh-CN"/>
        </w:rPr>
      </w:pPr>
      <w:r>
        <w:rPr>
          <w:rFonts w:hint="eastAsia"/>
        </w:rPr>
        <w:t>（</w:t>
      </w:r>
      <w:r>
        <w:rPr>
          <w:rFonts w:hint="eastAsia"/>
          <w:lang w:val="en-US" w:eastAsia="zh-CN"/>
        </w:rPr>
        <w:t>2</w:t>
      </w:r>
      <w:r>
        <w:rPr>
          <w:rFonts w:hint="eastAsia"/>
        </w:rPr>
        <w:t>）</w:t>
      </w:r>
      <w:r>
        <w:rPr>
          <w:rFonts w:hint="eastAsia"/>
          <w:highlight w:val="none"/>
          <w:lang w:val="en-US" w:eastAsia="zh-CN"/>
        </w:rPr>
        <w:t>可持续影响指标</w:t>
      </w:r>
    </w:p>
    <w:p>
      <w:pPr>
        <w:ind w:firstLine="640"/>
        <w:rPr>
          <w:highlight w:val="none"/>
        </w:rPr>
      </w:pPr>
      <w:r>
        <w:rPr>
          <w:rFonts w:hint="eastAsia"/>
          <w:highlight w:val="none"/>
        </w:rPr>
        <w:t>“</w:t>
      </w:r>
      <w:r>
        <w:rPr>
          <w:rFonts w:hint="eastAsia"/>
          <w:highlight w:val="none"/>
          <w:lang w:val="en-US" w:eastAsia="zh-CN"/>
        </w:rPr>
        <w:t>可持续影响指标</w:t>
      </w:r>
      <w:r>
        <w:rPr>
          <w:rFonts w:hint="eastAsia"/>
          <w:highlight w:val="none"/>
        </w:rPr>
        <w:t>”下设三级指标“</w:t>
      </w:r>
      <w:r>
        <w:rPr>
          <w:rFonts w:hint="eastAsia"/>
          <w:highlight w:val="none"/>
          <w:lang w:val="en-US" w:eastAsia="zh-CN"/>
        </w:rPr>
        <w:t>持续保持宗教领域稳定</w:t>
      </w:r>
      <w:r>
        <w:rPr>
          <w:rFonts w:hint="eastAsia"/>
          <w:highlight w:val="none"/>
        </w:rPr>
        <w:t>”。</w:t>
      </w:r>
    </w:p>
    <w:p>
      <w:pPr>
        <w:ind w:firstLine="640"/>
        <w:rPr>
          <w:rFonts w:hint="eastAsia"/>
          <w:highlight w:val="none"/>
        </w:rPr>
      </w:pPr>
      <w:r>
        <w:rPr>
          <w:rFonts w:hint="eastAsia" w:ascii="仿宋" w:hAnsi="仿宋" w:eastAsia="仿宋" w:cstheme="minorBidi"/>
          <w:kern w:val="2"/>
          <w:sz w:val="32"/>
          <w:szCs w:val="32"/>
          <w:highlight w:val="none"/>
          <w:lang w:val="en-US" w:eastAsia="zh-CN" w:bidi="ar-SA"/>
        </w:rPr>
        <w:t>本项目的实施</w:t>
      </w:r>
      <w:r>
        <w:rPr>
          <w:rFonts w:hint="eastAsia" w:cstheme="minorBidi"/>
          <w:kern w:val="2"/>
          <w:sz w:val="32"/>
          <w:szCs w:val="32"/>
          <w:highlight w:val="none"/>
          <w:lang w:val="en-US" w:eastAsia="zh-CN" w:bidi="ar-SA"/>
        </w:rPr>
        <w:t>有利于</w:t>
      </w:r>
      <w:r>
        <w:rPr>
          <w:rFonts w:hint="eastAsia" w:ascii="仿宋" w:hAnsi="仿宋" w:eastAsia="仿宋" w:cstheme="minorBidi"/>
          <w:kern w:val="2"/>
          <w:sz w:val="32"/>
          <w:szCs w:val="32"/>
          <w:highlight w:val="none"/>
          <w:lang w:val="en-US" w:eastAsia="zh-CN" w:bidi="ar-SA"/>
        </w:rPr>
        <w:t>解决民族宗教领域突出问题，引导宗教与社会主义相适应，实现民族宗教领域</w:t>
      </w:r>
      <w:r>
        <w:rPr>
          <w:rFonts w:hint="eastAsia" w:cstheme="minorBidi"/>
          <w:kern w:val="2"/>
          <w:sz w:val="32"/>
          <w:szCs w:val="32"/>
          <w:highlight w:val="none"/>
          <w:lang w:val="en-US" w:eastAsia="zh-CN" w:bidi="ar-SA"/>
        </w:rPr>
        <w:t>持续</w:t>
      </w:r>
      <w:r>
        <w:rPr>
          <w:rFonts w:hint="eastAsia" w:ascii="仿宋" w:hAnsi="仿宋" w:eastAsia="仿宋" w:cstheme="minorBidi"/>
          <w:kern w:val="2"/>
          <w:sz w:val="32"/>
          <w:szCs w:val="32"/>
          <w:highlight w:val="none"/>
          <w:lang w:val="en-US" w:eastAsia="zh-CN" w:bidi="ar-SA"/>
        </w:rPr>
        <w:t>和谐稳定。</w:t>
      </w:r>
      <w:r>
        <w:rPr>
          <w:rFonts w:hint="eastAsia"/>
          <w:highlight w:val="none"/>
        </w:rPr>
        <w:t>该指标标准分值为</w:t>
      </w:r>
      <w:r>
        <w:rPr>
          <w:rFonts w:hint="eastAsia"/>
          <w:highlight w:val="none"/>
          <w:lang w:val="en-US" w:eastAsia="zh-CN"/>
        </w:rPr>
        <w:t>15</w:t>
      </w:r>
      <w:r>
        <w:rPr>
          <w:rFonts w:hint="eastAsia"/>
          <w:highlight w:val="none"/>
        </w:rPr>
        <w:t>分，实际综合得分为</w:t>
      </w:r>
      <w:r>
        <w:rPr>
          <w:rFonts w:hint="eastAsia"/>
          <w:highlight w:val="none"/>
          <w:lang w:val="en-US" w:eastAsia="zh-CN"/>
        </w:rPr>
        <w:t>15</w:t>
      </w:r>
      <w:r>
        <w:rPr>
          <w:rFonts w:hint="eastAsia"/>
          <w:highlight w:val="none"/>
        </w:rPr>
        <w:t>分。</w:t>
      </w:r>
    </w:p>
    <w:p>
      <w:pPr>
        <w:pStyle w:val="6"/>
        <w:ind w:firstLine="643"/>
        <w:rPr>
          <w:highlight w:val="none"/>
        </w:rPr>
      </w:pPr>
      <w:bookmarkStart w:id="49" w:name="_Toc79333449"/>
      <w:r>
        <w:rPr>
          <w:highlight w:val="none"/>
        </w:rPr>
        <w:t>4、满意度指标分析</w:t>
      </w:r>
      <w:bookmarkEnd w:id="49"/>
    </w:p>
    <w:p>
      <w:pPr>
        <w:ind w:firstLine="640"/>
        <w:rPr>
          <w:rFonts w:hint="eastAsia" w:eastAsia="仿宋"/>
          <w:highlight w:val="yellow"/>
          <w:lang w:eastAsia="zh-CN"/>
        </w:rPr>
      </w:pPr>
      <w:r>
        <w:rPr>
          <w:rFonts w:hint="eastAsia"/>
          <w:highlight w:val="none"/>
          <w:lang w:val="en-US" w:eastAsia="zh-CN"/>
        </w:rPr>
        <w:t>经调查，</w:t>
      </w:r>
      <w:r>
        <w:rPr>
          <w:rFonts w:hint="eastAsia"/>
          <w:highlight w:val="none"/>
        </w:rPr>
        <w:t>受益</w:t>
      </w:r>
      <w:r>
        <w:rPr>
          <w:rFonts w:hint="eastAsia"/>
          <w:highlight w:val="none"/>
          <w:lang w:val="en-US" w:eastAsia="zh-CN"/>
        </w:rPr>
        <w:t>对象</w:t>
      </w:r>
      <w:r>
        <w:rPr>
          <w:rFonts w:hint="eastAsia"/>
          <w:highlight w:val="none"/>
        </w:rPr>
        <w:t>满意度</w:t>
      </w:r>
      <w:r>
        <w:rPr>
          <w:rFonts w:hint="eastAsia"/>
          <w:highlight w:val="none"/>
          <w:lang w:val="en-US" w:eastAsia="zh-CN"/>
        </w:rPr>
        <w:t>达到98%以上，</w:t>
      </w:r>
      <w:r>
        <w:rPr>
          <w:rFonts w:hint="eastAsia"/>
          <w:highlight w:val="none"/>
        </w:rPr>
        <w:t>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r>
        <w:rPr>
          <w:rFonts w:hint="eastAsia"/>
          <w:highlight w:val="none"/>
          <w:lang w:eastAsia="zh-CN"/>
        </w:rPr>
        <w:t>。</w:t>
      </w:r>
    </w:p>
    <w:p>
      <w:pPr>
        <w:pStyle w:val="4"/>
      </w:pPr>
      <w:bookmarkStart w:id="50" w:name="_Toc29830"/>
      <w:bookmarkStart w:id="51" w:name="_Toc79333450"/>
      <w:bookmarkStart w:id="52" w:name="_Toc11558"/>
      <w:r>
        <w:rPr>
          <w:rFonts w:hint="eastAsia"/>
        </w:rPr>
        <w:t>四、成果和问题</w:t>
      </w:r>
      <w:bookmarkEnd w:id="50"/>
      <w:bookmarkEnd w:id="51"/>
      <w:bookmarkEnd w:id="52"/>
    </w:p>
    <w:p>
      <w:pPr>
        <w:pStyle w:val="5"/>
      </w:pPr>
      <w:bookmarkStart w:id="53" w:name="_Toc15515"/>
      <w:bookmarkStart w:id="54" w:name="_Toc79333451"/>
      <w:r>
        <w:rPr>
          <w:rFonts w:hint="eastAsia"/>
        </w:rPr>
        <w:t>（一）项目实施的成果</w:t>
      </w:r>
      <w:bookmarkEnd w:id="53"/>
      <w:bookmarkEnd w:id="54"/>
    </w:p>
    <w:p>
      <w:pPr>
        <w:bidi w:val="0"/>
      </w:pPr>
      <w:bookmarkStart w:id="55" w:name="_Toc79333452"/>
      <w:r>
        <w:t>依法治理民族宗教事务，坚决防范和化解</w:t>
      </w:r>
      <w:r>
        <w:rPr>
          <w:rFonts w:hint="eastAsia"/>
          <w:lang w:val="en-US" w:eastAsia="zh-CN"/>
        </w:rPr>
        <w:t>了</w:t>
      </w:r>
      <w:r>
        <w:t>重大风险隐患，推进各民族共同走向现代化，全力推动新时代民族宗教工作高质量发展。</w:t>
      </w:r>
      <w:r>
        <w:rPr>
          <w:rFonts w:hint="eastAsia"/>
          <w:lang w:val="en-US" w:eastAsia="zh-CN"/>
        </w:rPr>
        <w:t>进一步</w:t>
      </w:r>
      <w:r>
        <w:t>加强党的领导，进一步压紧压实各方工作责任，健全完善工作机制，强化民族宗教工作队伍建设，着力夯实基层基础，慎重稳妥推进工作，把少数民族群众、信教群众紧紧团结和凝聚在党组织周围，以优异成绩迎接党的二十大胜利召开。</w:t>
      </w:r>
    </w:p>
    <w:p>
      <w:pPr>
        <w:pStyle w:val="5"/>
        <w:rPr>
          <w:b/>
        </w:rPr>
      </w:pPr>
      <w:bookmarkStart w:id="56" w:name="_Toc28351"/>
      <w:r>
        <w:rPr>
          <w:rFonts w:hint="eastAsia"/>
        </w:rPr>
        <w:t>（二）项目存在的问题</w:t>
      </w:r>
      <w:bookmarkEnd w:id="55"/>
      <w:bookmarkEnd w:id="56"/>
    </w:p>
    <w:p>
      <w:pPr>
        <w:ind w:firstLine="643"/>
        <w:rPr>
          <w:rFonts w:hint="default" w:eastAsia="仿宋"/>
          <w:b/>
          <w:highlight w:val="none"/>
          <w:lang w:val="en-US" w:eastAsia="zh-CN"/>
        </w:rPr>
      </w:pPr>
      <w:r>
        <w:rPr>
          <w:rFonts w:hint="eastAsia"/>
          <w:b/>
          <w:highlight w:val="none"/>
        </w:rPr>
        <w:t>1、</w:t>
      </w:r>
      <w:r>
        <w:rPr>
          <w:rFonts w:hint="eastAsia"/>
          <w:b/>
          <w:highlight w:val="none"/>
          <w:lang w:val="en-US" w:eastAsia="zh-CN"/>
        </w:rPr>
        <w:t>工作安排缺乏弹性</w:t>
      </w:r>
    </w:p>
    <w:p>
      <w:pPr>
        <w:ind w:firstLine="640"/>
        <w:rPr>
          <w:rFonts w:hint="default"/>
          <w:highlight w:val="none"/>
          <w:lang w:val="en-US"/>
        </w:rPr>
      </w:pPr>
      <w:r>
        <w:rPr>
          <w:rFonts w:hint="eastAsia"/>
          <w:highlight w:val="none"/>
        </w:rPr>
        <w:t>我单位在进行绩效自评工作时，发现由于前期</w:t>
      </w:r>
      <w:r>
        <w:rPr>
          <w:rFonts w:hint="eastAsia"/>
          <w:highlight w:val="none"/>
          <w:lang w:val="en-US" w:eastAsia="zh-CN"/>
        </w:rPr>
        <w:t>工作安排缺乏弹性</w:t>
      </w:r>
      <w:r>
        <w:rPr>
          <w:rFonts w:hint="eastAsia"/>
          <w:highlight w:val="none"/>
        </w:rPr>
        <w:t>，</w:t>
      </w:r>
      <w:r>
        <w:rPr>
          <w:rFonts w:hint="eastAsia"/>
          <w:highlight w:val="none"/>
          <w:lang w:val="en-US" w:eastAsia="zh-CN"/>
        </w:rPr>
        <w:t>由于疫情等不可抗力因素，</w:t>
      </w:r>
      <w:r>
        <w:rPr>
          <w:rFonts w:hint="eastAsia"/>
          <w:highlight w:val="none"/>
        </w:rPr>
        <w:t>未及时对项目</w:t>
      </w:r>
      <w:r>
        <w:rPr>
          <w:rFonts w:hint="eastAsia"/>
          <w:highlight w:val="none"/>
          <w:lang w:val="en-US" w:eastAsia="zh-CN"/>
        </w:rPr>
        <w:t>实施计划给予调整，部分工作存在延迟现象。</w:t>
      </w:r>
    </w:p>
    <w:p>
      <w:pPr>
        <w:ind w:firstLine="643"/>
        <w:rPr>
          <w:b/>
          <w:highlight w:val="none"/>
        </w:rPr>
      </w:pPr>
      <w:r>
        <w:rPr>
          <w:rFonts w:hint="eastAsia"/>
          <w:b/>
          <w:highlight w:val="none"/>
        </w:rPr>
        <w:t>2、绩效管理水平有待进一步提高</w:t>
      </w:r>
    </w:p>
    <w:p>
      <w:pPr>
        <w:ind w:firstLine="640"/>
        <w:rPr>
          <w:rFonts w:hint="eastAsia"/>
          <w:highlight w:val="none"/>
        </w:rPr>
      </w:pPr>
      <w:r>
        <w:rPr>
          <w:rFonts w:hint="eastAsia"/>
          <w:highlight w:val="none"/>
        </w:rPr>
        <w:t>我单位在进行绩效自评工作时，发现</w:t>
      </w:r>
      <w:r>
        <w:rPr>
          <w:rFonts w:hint="eastAsia"/>
          <w:highlight w:val="none"/>
          <w:lang w:val="en-US" w:eastAsia="zh-CN"/>
        </w:rPr>
        <w:t>质量指标、时效指标等</w:t>
      </w:r>
      <w:r>
        <w:rPr>
          <w:rFonts w:hint="eastAsia"/>
          <w:highlight w:val="none"/>
        </w:rPr>
        <w:t>个别绩效指标</w:t>
      </w:r>
      <w:r>
        <w:rPr>
          <w:rFonts w:hint="eastAsia"/>
          <w:highlight w:val="none"/>
          <w:lang w:val="en-US" w:eastAsia="zh-CN"/>
        </w:rPr>
        <w:t>的三级指标设置时与二级指标不对应，较为混乱，</w:t>
      </w:r>
      <w:r>
        <w:rPr>
          <w:rFonts w:hint="eastAsia"/>
          <w:highlight w:val="none"/>
        </w:rPr>
        <w:t>自评结果不够准确。</w:t>
      </w:r>
    </w:p>
    <w:p>
      <w:pPr>
        <w:pStyle w:val="4"/>
      </w:pPr>
      <w:bookmarkStart w:id="57" w:name="_Toc27227"/>
      <w:bookmarkStart w:id="58" w:name="_Toc6716"/>
      <w:bookmarkStart w:id="59" w:name="_Toc79333453"/>
      <w:r>
        <w:rPr>
          <w:rFonts w:hint="eastAsia"/>
        </w:rPr>
        <w:t>五、建议</w:t>
      </w:r>
      <w:bookmarkEnd w:id="57"/>
      <w:bookmarkEnd w:id="58"/>
      <w:bookmarkEnd w:id="59"/>
    </w:p>
    <w:p>
      <w:pPr>
        <w:pStyle w:val="5"/>
        <w:rPr>
          <w:rFonts w:hint="default" w:eastAsia="楷体"/>
          <w:highlight w:val="none"/>
          <w:lang w:val="en-US" w:eastAsia="zh-CN"/>
        </w:rPr>
      </w:pPr>
      <w:bookmarkStart w:id="60" w:name="_Toc79333454"/>
      <w:bookmarkStart w:id="61" w:name="_Toc26552"/>
      <w:r>
        <w:rPr>
          <w:rFonts w:hint="eastAsia"/>
          <w:highlight w:val="none"/>
        </w:rPr>
        <w:t>（一）</w:t>
      </w:r>
      <w:bookmarkEnd w:id="60"/>
      <w:r>
        <w:rPr>
          <w:rFonts w:hint="eastAsia"/>
          <w:highlight w:val="none"/>
          <w:lang w:val="en-US" w:eastAsia="zh-CN"/>
        </w:rPr>
        <w:t>制定弹性工作计划安排</w:t>
      </w:r>
      <w:bookmarkEnd w:id="61"/>
    </w:p>
    <w:p>
      <w:pPr>
        <w:ind w:firstLine="640"/>
        <w:rPr>
          <w:rFonts w:hint="default" w:eastAsia="仿宋"/>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注重对项目工作计划的弹性安排，</w:t>
      </w:r>
      <w:r>
        <w:rPr>
          <w:rFonts w:hint="default"/>
          <w:lang w:val="zh-CN"/>
        </w:rPr>
        <w:t>进一步加强预算支出的街接、审核、跟踪及预算执行情况分析</w:t>
      </w:r>
      <w:r>
        <w:rPr>
          <w:rFonts w:hint="eastAsia"/>
          <w:lang w:val="zh-CN"/>
        </w:rPr>
        <w:t>，</w:t>
      </w:r>
      <w:r>
        <w:rPr>
          <w:rFonts w:hint="eastAsia"/>
          <w:lang w:val="en-US" w:eastAsia="zh-CN"/>
        </w:rPr>
        <w:t>及时发现问题解决问题</w:t>
      </w:r>
      <w:r>
        <w:rPr>
          <w:rFonts w:hint="default"/>
          <w:lang w:val="zh-CN"/>
        </w:rPr>
        <w:t>。</w:t>
      </w:r>
    </w:p>
    <w:p>
      <w:pPr>
        <w:pStyle w:val="5"/>
        <w:rPr>
          <w:highlight w:val="none"/>
        </w:rPr>
      </w:pPr>
      <w:bookmarkStart w:id="62" w:name="_Toc79333455"/>
      <w:bookmarkStart w:id="63" w:name="_Toc3675"/>
      <w:r>
        <w:rPr>
          <w:rFonts w:hint="eastAsia"/>
          <w:highlight w:val="none"/>
        </w:rPr>
        <w:t>（二）加强学习培训，进一步提高绩效管理水平</w:t>
      </w:r>
      <w:bookmarkEnd w:id="62"/>
      <w:bookmarkEnd w:id="63"/>
    </w:p>
    <w:p>
      <w:pPr>
        <w:ind w:firstLine="640"/>
        <w:rPr>
          <w:highlight w:val="none"/>
        </w:rPr>
      </w:pPr>
      <w:r>
        <w:rPr>
          <w:rFonts w:hint="eastAsia"/>
          <w:highlight w:val="none"/>
        </w:rPr>
        <w:t>通过本次自评，发现我单位整体绩效评价水平不够，为更好的开展以后绩效评价和项目管理工作，建议财政部门组织绩效管理专题培训会议。</w:t>
      </w:r>
    </w:p>
    <w:p>
      <w:pPr>
        <w:pStyle w:val="4"/>
        <w:rPr>
          <w:highlight w:val="none"/>
        </w:rPr>
      </w:pPr>
      <w:bookmarkStart w:id="64" w:name="_Toc12380"/>
      <w:bookmarkStart w:id="65" w:name="_Toc665"/>
      <w:bookmarkStart w:id="66" w:name="_Toc79333457"/>
      <w:r>
        <w:rPr>
          <w:rFonts w:hint="eastAsia"/>
          <w:highlight w:val="none"/>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4"/>
      </w:pPr>
      <w:bookmarkStart w:id="67" w:name="_Toc32521"/>
      <w:bookmarkStart w:id="68" w:name="_Toc75871379"/>
      <w:bookmarkStart w:id="69" w:name="_Toc61882435"/>
      <w:bookmarkStart w:id="70" w:name="_Toc62030119"/>
      <w:bookmarkStart w:id="71" w:name="_Toc79333458"/>
      <w:r>
        <w:rPr>
          <w:rFonts w:hint="eastAsia"/>
        </w:rPr>
        <w:t>七、附件</w:t>
      </w:r>
      <w:bookmarkEnd w:id="67"/>
      <w:bookmarkEnd w:id="68"/>
      <w:bookmarkEnd w:id="69"/>
      <w:bookmarkEnd w:id="70"/>
      <w:bookmarkEnd w:id="71"/>
    </w:p>
    <w:p>
      <w:pPr>
        <w:ind w:firstLine="640"/>
      </w:pPr>
      <w:r>
        <w:rPr>
          <w:rFonts w:hint="eastAsia"/>
        </w:rPr>
        <w:t>附件一：项目绩效自评表</w:t>
      </w:r>
    </w:p>
    <w:p>
      <w:pPr>
        <w:ind w:firstLine="640"/>
      </w:pPr>
    </w:p>
    <w:p>
      <w:pPr>
        <w:ind w:firstLine="640"/>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0" w:num="1"/>
          <w:docGrid w:linePitch="312" w:charSpace="0"/>
        </w:sectPr>
      </w:pPr>
    </w:p>
    <w:p>
      <w:pPr>
        <w:pStyle w:val="5"/>
        <w:rPr>
          <w:rFonts w:hint="eastAsia"/>
        </w:rPr>
      </w:pPr>
      <w:bookmarkStart w:id="77" w:name="_GoBack"/>
      <w:bookmarkStart w:id="72" w:name="_Toc75871380"/>
      <w:bookmarkStart w:id="73" w:name="_Toc62030120"/>
      <w:bookmarkStart w:id="74" w:name="_Toc61882642"/>
      <w:bookmarkStart w:id="75" w:name="_Toc79333459"/>
      <w:bookmarkStart w:id="76" w:name="_Toc20899"/>
      <w:r>
        <w:rPr>
          <w:rFonts w:hint="eastAsia"/>
        </w:rPr>
        <w:t>附件一：项目绩效自评表</w:t>
      </w:r>
      <w:bookmarkEnd w:id="72"/>
      <w:bookmarkEnd w:id="73"/>
      <w:bookmarkEnd w:id="74"/>
      <w:bookmarkEnd w:id="75"/>
      <w:bookmarkEnd w:id="76"/>
    </w:p>
    <w:bookmarkEnd w:id="77"/>
    <w:tbl>
      <w:tblPr>
        <w:tblStyle w:val="15"/>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0"/>
        <w:gridCol w:w="1166"/>
        <w:gridCol w:w="1377"/>
        <w:gridCol w:w="1303"/>
        <w:gridCol w:w="1309"/>
        <w:gridCol w:w="1481"/>
        <w:gridCol w:w="1479"/>
        <w:gridCol w:w="1261"/>
        <w:gridCol w:w="1476"/>
        <w:gridCol w:w="465"/>
        <w:gridCol w:w="1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5000" w:type="pct"/>
            <w:gridSpan w:val="11"/>
            <w:tcBorders>
              <w:top w:val="nil"/>
              <w:left w:val="nil"/>
              <w:bottom w:val="nil"/>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5000" w:type="pct"/>
            <w:gridSpan w:val="11"/>
            <w:tcBorders>
              <w:top w:val="nil"/>
              <w:left w:val="nil"/>
              <w:bottom w:val="nil"/>
              <w:right w:val="nil"/>
            </w:tcBorders>
            <w:shd w:val="clear" w:color="auto" w:fill="auto"/>
            <w:noWrap/>
            <w:vAlign w:val="top"/>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5000" w:type="pct"/>
            <w:gridSpan w:val="11"/>
            <w:tcBorders>
              <w:top w:val="nil"/>
              <w:left w:val="nil"/>
              <w:bottom w:val="single" w:color="000000" w:sz="4" w:space="0"/>
              <w:right w:val="nil"/>
            </w:tcBorders>
            <w:shd w:val="clear" w:color="auto" w:fill="auto"/>
            <w:noWrap/>
            <w:vAlign w:val="center"/>
          </w:tcPr>
          <w:p>
            <w:pPr>
              <w:keepNext w:val="0"/>
              <w:keepLines w:val="0"/>
              <w:widowControl/>
              <w:suppressLineNumbers w:val="0"/>
              <w:spacing w:line="240" w:lineRule="auto"/>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填表人及联系方式：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408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民族宗教工作经费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9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主管部门及代码</w:t>
            </w:r>
          </w:p>
        </w:tc>
        <w:tc>
          <w:tcPr>
            <w:tcW w:w="193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中共三门峡市委统一战线工作部</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16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中共三门峡市委统一战线工作部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9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年初预算数</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全年预算数</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全年执行数</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执行率</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9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年度资金总额</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9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其中：当年财政拨款</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9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其他资金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5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2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预期目标</w:t>
            </w:r>
          </w:p>
        </w:tc>
        <w:tc>
          <w:tcPr>
            <w:tcW w:w="21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23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目标1：团结联系民族宗教界代表人士，发挥代表人士作用，维护民族和睦、宗教稳定。</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目标2：做好宗教依法治理工作，解决民族宗教领域突出问题，引导宗教与社会主义相适应，实现民族宗教领域和谐稳定。</w:t>
            </w:r>
          </w:p>
        </w:tc>
        <w:tc>
          <w:tcPr>
            <w:tcW w:w="21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目标1：团结联系民族宗教界代表人士，发挥代表人士作用，维护民族和睦、宗教稳定。</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目标2：做好宗教依法治理工作，解决民族宗教领域突出问题，引导宗教与社会主义相适应，实现民族宗教领域和谐稳定。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绩</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效</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指</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年度指标值</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实际完成值</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得分</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4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维护宗教界代表人士</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18人</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18人</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highlight w:val="none"/>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成立行动调研指导组</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3个</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3个</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宗教代表人士补助发放完成率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开展“一三三四”专项行动完成率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宗教代表人士补助发放及时性</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2021年12月</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2021年12月</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开展“一三三四”专项行动及时性</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及时</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存在延迟</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因疫情存在延迟，制定弹性工作计划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宗教代表人士补助</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2000元/人</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2000元/人</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498"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开展“一三三四”专项行动</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≤6.4万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6.4万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7</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3"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4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民族宗教领域和谐稳定</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稳定</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稳定</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持续保持宗教领域稳定</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持续</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持续</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15</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受益对象满意度</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≥98%</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99%</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336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总分</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98</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注：1.绩效自评采取打分评价的形式，</w:t>
            </w:r>
            <w:r>
              <w:rPr>
                <w:rStyle w:val="31"/>
                <w:highlight w:val="none"/>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宋体" w:hAnsi="宋体" w:eastAsia="宋体" w:cs="宋体"/>
                <w:i w:val="0"/>
                <w:iCs w:val="0"/>
                <w:color w:val="000000"/>
                <w:sz w:val="18"/>
                <w:szCs w:val="18"/>
                <w:highlight w:val="none"/>
                <w:u w:val="none"/>
              </w:rPr>
            </w:pPr>
          </w:p>
        </w:tc>
      </w:tr>
    </w:tbl>
    <w:p>
      <w:pPr>
        <w:tabs>
          <w:tab w:val="left" w:pos="1400"/>
        </w:tabs>
        <w:spacing w:line="20" w:lineRule="exact"/>
        <w:ind w:left="0" w:leftChars="0" w:firstLine="0" w:firstLineChars="0"/>
      </w:pPr>
    </w:p>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8E489"/>
    <w:multiLevelType w:val="singleLevel"/>
    <w:tmpl w:val="CA88E489"/>
    <w:lvl w:ilvl="0" w:tentative="0">
      <w:start w:val="1"/>
      <w:numFmt w:val="decimal"/>
      <w:suff w:val="nothing"/>
      <w:lvlText w:val="（%1）"/>
      <w:lvlJc w:val="left"/>
    </w:lvl>
  </w:abstractNum>
  <w:abstractNum w:abstractNumId="1">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6E18D1"/>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645940"/>
    <w:rsid w:val="01F71F60"/>
    <w:rsid w:val="03C660F1"/>
    <w:rsid w:val="042B4352"/>
    <w:rsid w:val="06DD5138"/>
    <w:rsid w:val="09034D82"/>
    <w:rsid w:val="0AD219BB"/>
    <w:rsid w:val="0EE02FCE"/>
    <w:rsid w:val="119C29FF"/>
    <w:rsid w:val="11D14067"/>
    <w:rsid w:val="12F162FD"/>
    <w:rsid w:val="183B6573"/>
    <w:rsid w:val="1B002515"/>
    <w:rsid w:val="1BA50EE0"/>
    <w:rsid w:val="1CBF4C66"/>
    <w:rsid w:val="1D26431F"/>
    <w:rsid w:val="1DB77262"/>
    <w:rsid w:val="21032E75"/>
    <w:rsid w:val="2449572C"/>
    <w:rsid w:val="24BC7D21"/>
    <w:rsid w:val="2636356A"/>
    <w:rsid w:val="28577A06"/>
    <w:rsid w:val="2A6C5A66"/>
    <w:rsid w:val="2AE845D1"/>
    <w:rsid w:val="303E3887"/>
    <w:rsid w:val="30FD39D4"/>
    <w:rsid w:val="31D63E67"/>
    <w:rsid w:val="33784C21"/>
    <w:rsid w:val="340A4177"/>
    <w:rsid w:val="358D1218"/>
    <w:rsid w:val="37360FC5"/>
    <w:rsid w:val="390B472B"/>
    <w:rsid w:val="3B080524"/>
    <w:rsid w:val="3F55385C"/>
    <w:rsid w:val="40712DCA"/>
    <w:rsid w:val="408C5853"/>
    <w:rsid w:val="41D47D1F"/>
    <w:rsid w:val="441E6300"/>
    <w:rsid w:val="47DC1621"/>
    <w:rsid w:val="4AB50218"/>
    <w:rsid w:val="4E26084E"/>
    <w:rsid w:val="4E992DD9"/>
    <w:rsid w:val="50C37060"/>
    <w:rsid w:val="516A5011"/>
    <w:rsid w:val="533F163E"/>
    <w:rsid w:val="55F834F4"/>
    <w:rsid w:val="5C813C62"/>
    <w:rsid w:val="63BF54E2"/>
    <w:rsid w:val="65091475"/>
    <w:rsid w:val="65A17FA7"/>
    <w:rsid w:val="666D63A3"/>
    <w:rsid w:val="67D8717E"/>
    <w:rsid w:val="69312D5B"/>
    <w:rsid w:val="6A73351C"/>
    <w:rsid w:val="70493BA2"/>
    <w:rsid w:val="74AD3F2D"/>
    <w:rsid w:val="76643861"/>
    <w:rsid w:val="77753743"/>
    <w:rsid w:val="789E7920"/>
    <w:rsid w:val="7BF34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4">
    <w:name w:val="heading 1"/>
    <w:basedOn w:val="1"/>
    <w:next w:val="1"/>
    <w:link w:val="18"/>
    <w:qFormat/>
    <w:uiPriority w:val="9"/>
    <w:pPr>
      <w:keepNext/>
      <w:keepLines/>
      <w:ind w:firstLine="0" w:firstLineChars="0"/>
      <w:jc w:val="left"/>
      <w:outlineLvl w:val="0"/>
    </w:pPr>
    <w:rPr>
      <w:rFonts w:ascii="黑体" w:hAnsi="黑体" w:eastAsia="黑体"/>
      <w:b/>
      <w:bCs/>
      <w:kern w:val="44"/>
    </w:rPr>
  </w:style>
  <w:style w:type="paragraph" w:styleId="5">
    <w:name w:val="heading 2"/>
    <w:basedOn w:val="1"/>
    <w:next w:val="6"/>
    <w:link w:val="21"/>
    <w:unhideWhenUsed/>
    <w:qFormat/>
    <w:uiPriority w:val="9"/>
    <w:pPr>
      <w:keepNext/>
      <w:keepLines/>
      <w:ind w:firstLine="0" w:firstLineChars="0"/>
      <w:jc w:val="left"/>
      <w:outlineLvl w:val="1"/>
    </w:pPr>
    <w:rPr>
      <w:rFonts w:ascii="楷体" w:hAnsi="楷体" w:eastAsia="楷体" w:cstheme="majorBidi"/>
      <w:b/>
      <w:bCs/>
    </w:rPr>
  </w:style>
  <w:style w:type="paragraph" w:styleId="6">
    <w:name w:val="heading 3"/>
    <w:basedOn w:val="1"/>
    <w:next w:val="1"/>
    <w:link w:val="23"/>
    <w:unhideWhenUsed/>
    <w:qFormat/>
    <w:uiPriority w:val="9"/>
    <w:pPr>
      <w:keepNext/>
      <w:keepLines/>
      <w:ind w:firstLine="200"/>
      <w:jc w:val="left"/>
      <w:outlineLvl w:val="2"/>
    </w:pPr>
    <w:rPr>
      <w:rFonts w:ascii="宋体" w:hAnsi="宋体"/>
      <w:b/>
      <w:bCs/>
    </w:rPr>
  </w:style>
  <w:style w:type="paragraph" w:styleId="7">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Chars="100"/>
    </w:pPr>
  </w:style>
  <w:style w:type="paragraph" w:styleId="3">
    <w:name w:val="Body Text"/>
    <w:basedOn w:val="1"/>
    <w:next w:val="1"/>
    <w:qFormat/>
    <w:uiPriority w:val="0"/>
    <w:pPr>
      <w:ind w:left="0" w:firstLine="638"/>
    </w:pPr>
    <w:rPr>
      <w:rFonts w:ascii="宋体" w:hAnsi="宋体" w:eastAsia="仿宋"/>
    </w:rPr>
  </w:style>
  <w:style w:type="paragraph" w:styleId="8">
    <w:name w:val="annotation text"/>
    <w:basedOn w:val="1"/>
    <w:qFormat/>
    <w:uiPriority w:val="0"/>
    <w:pPr>
      <w:jc w:val="left"/>
    </w:pPr>
  </w:style>
  <w:style w:type="paragraph" w:styleId="9">
    <w:name w:val="toc 3"/>
    <w:basedOn w:val="1"/>
    <w:next w:val="1"/>
    <w:unhideWhenUsed/>
    <w:qFormat/>
    <w:uiPriority w:val="39"/>
    <w:pPr>
      <w:ind w:left="840" w:leftChars="400"/>
    </w:pPr>
  </w:style>
  <w:style w:type="paragraph" w:styleId="10">
    <w:name w:val="footer"/>
    <w:basedOn w:val="1"/>
    <w:link w:val="22"/>
    <w:unhideWhenUsed/>
    <w:qFormat/>
    <w:uiPriority w:val="99"/>
    <w:pPr>
      <w:tabs>
        <w:tab w:val="center" w:pos="4153"/>
        <w:tab w:val="right" w:pos="8306"/>
      </w:tabs>
      <w:spacing w:line="240" w:lineRule="auto"/>
      <w:ind w:firstLine="0" w:firstLineChars="0"/>
      <w:jc w:val="left"/>
    </w:pPr>
    <w:rPr>
      <w:sz w:val="28"/>
      <w:szCs w:val="2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2">
    <w:name w:val="toc 1"/>
    <w:basedOn w:val="1"/>
    <w:next w:val="1"/>
    <w:unhideWhenUsed/>
    <w:qFormat/>
    <w:uiPriority w:val="39"/>
    <w:pPr>
      <w:tabs>
        <w:tab w:val="right" w:leader="dot" w:pos="8296"/>
      </w:tabs>
      <w:ind w:firstLine="0" w:firstLineChars="0"/>
      <w:jc w:val="center"/>
    </w:pPr>
    <w:rPr>
      <w:b/>
    </w:rPr>
  </w:style>
  <w:style w:type="paragraph" w:styleId="13">
    <w:name w:val="toc 2"/>
    <w:basedOn w:val="1"/>
    <w:next w:val="1"/>
    <w:unhideWhenUsed/>
    <w:qFormat/>
    <w:uiPriority w:val="39"/>
    <w:pPr>
      <w:ind w:left="420" w:leftChars="200" w:firstLine="0" w:firstLineChars="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4"/>
    <w:qFormat/>
    <w:uiPriority w:val="9"/>
    <w:rPr>
      <w:rFonts w:ascii="黑体" w:hAnsi="黑体" w:eastAsia="黑体"/>
      <w:b/>
      <w:bCs/>
      <w:kern w:val="44"/>
      <w:sz w:val="32"/>
      <w:szCs w:val="32"/>
    </w:rPr>
  </w:style>
  <w:style w:type="paragraph" w:customStyle="1" w:styleId="19">
    <w:name w:val="表格"/>
    <w:basedOn w:val="1"/>
    <w:next w:val="1"/>
    <w:qFormat/>
    <w:uiPriority w:val="0"/>
    <w:pPr>
      <w:spacing w:line="240" w:lineRule="auto"/>
      <w:ind w:firstLine="0" w:firstLineChars="0"/>
      <w:jc w:val="center"/>
    </w:pPr>
    <w:rPr>
      <w:rFonts w:ascii="Times New Roman" w:hAnsi="Times New Roman"/>
      <w:sz w:val="24"/>
      <w:szCs w:val="24"/>
    </w:rPr>
  </w:style>
  <w:style w:type="paragraph" w:customStyle="1" w:styleId="20">
    <w:name w:val="表头"/>
    <w:basedOn w:val="1"/>
    <w:next w:val="1"/>
    <w:qFormat/>
    <w:uiPriority w:val="0"/>
    <w:pPr>
      <w:spacing w:before="100" w:after="100"/>
      <w:jc w:val="center"/>
    </w:pPr>
    <w:rPr>
      <w:rFonts w:ascii="Times New Roman" w:hAnsi="Times New Roman"/>
      <w:b/>
      <w:bCs/>
      <w:szCs w:val="28"/>
    </w:rPr>
  </w:style>
  <w:style w:type="character" w:customStyle="1" w:styleId="21">
    <w:name w:val="标题 2 字符"/>
    <w:basedOn w:val="17"/>
    <w:link w:val="5"/>
    <w:qFormat/>
    <w:uiPriority w:val="9"/>
    <w:rPr>
      <w:rFonts w:ascii="楷体" w:hAnsi="楷体" w:eastAsia="楷体" w:cstheme="majorBidi"/>
      <w:b/>
      <w:bCs/>
      <w:kern w:val="2"/>
      <w:sz w:val="32"/>
      <w:szCs w:val="32"/>
    </w:rPr>
  </w:style>
  <w:style w:type="character" w:customStyle="1" w:styleId="22">
    <w:name w:val="页脚 字符"/>
    <w:basedOn w:val="17"/>
    <w:link w:val="10"/>
    <w:qFormat/>
    <w:uiPriority w:val="99"/>
    <w:rPr>
      <w:rFonts w:eastAsia="仿宋"/>
      <w:sz w:val="28"/>
      <w:szCs w:val="28"/>
    </w:rPr>
  </w:style>
  <w:style w:type="character" w:customStyle="1" w:styleId="23">
    <w:name w:val="标题 3 字符"/>
    <w:basedOn w:val="17"/>
    <w:link w:val="6"/>
    <w:qFormat/>
    <w:uiPriority w:val="9"/>
    <w:rPr>
      <w:rFonts w:ascii="宋体" w:hAnsi="宋体" w:eastAsia="仿宋"/>
      <w:b/>
      <w:bCs/>
      <w:kern w:val="2"/>
      <w:sz w:val="32"/>
      <w:szCs w:val="32"/>
    </w:rPr>
  </w:style>
  <w:style w:type="character" w:customStyle="1" w:styleId="24">
    <w:name w:val="标题 4 字符"/>
    <w:basedOn w:val="17"/>
    <w:link w:val="7"/>
    <w:semiHidden/>
    <w:qFormat/>
    <w:uiPriority w:val="9"/>
    <w:rPr>
      <w:rFonts w:asciiTheme="majorHAnsi" w:hAnsiTheme="majorHAnsi" w:eastAsiaTheme="majorEastAsia" w:cstheme="majorBidi"/>
      <w:b/>
      <w:bCs/>
      <w:kern w:val="2"/>
      <w:sz w:val="28"/>
      <w:szCs w:val="28"/>
    </w:rPr>
  </w:style>
  <w:style w:type="paragraph" w:customStyle="1" w:styleId="25">
    <w:name w:val="本模板"/>
    <w:basedOn w:val="1"/>
    <w:next w:val="1"/>
    <w:qFormat/>
    <w:uiPriority w:val="0"/>
    <w:pPr>
      <w:ind w:firstLine="0" w:firstLineChars="0"/>
      <w:jc w:val="center"/>
    </w:pPr>
  </w:style>
  <w:style w:type="paragraph" w:customStyle="1" w:styleId="26">
    <w:name w:val="由"/>
    <w:basedOn w:val="1"/>
    <w:qFormat/>
    <w:uiPriority w:val="0"/>
    <w:pPr>
      <w:ind w:firstLine="0" w:firstLineChars="0"/>
      <w:jc w:val="center"/>
    </w:pPr>
  </w:style>
  <w:style w:type="paragraph" w:customStyle="1" w:styleId="27">
    <w:name w:val="昭元绩效"/>
    <w:basedOn w:val="1"/>
    <w:qFormat/>
    <w:uiPriority w:val="0"/>
    <w:pPr>
      <w:spacing w:line="360" w:lineRule="auto"/>
      <w:ind w:firstLine="0" w:firstLineChars="0"/>
      <w:jc w:val="center"/>
    </w:pPr>
    <w:rPr>
      <w:rFonts w:eastAsia="宋体"/>
      <w:b/>
      <w:bCs/>
      <w:sz w:val="44"/>
      <w:szCs w:val="44"/>
    </w:rPr>
  </w:style>
  <w:style w:type="paragraph" w:customStyle="1" w:styleId="28">
    <w:name w:val="提供"/>
    <w:basedOn w:val="1"/>
    <w:qFormat/>
    <w:uiPriority w:val="0"/>
    <w:pPr>
      <w:ind w:firstLine="0" w:firstLineChars="0"/>
      <w:jc w:val="center"/>
    </w:pPr>
  </w:style>
  <w:style w:type="paragraph" w:customStyle="1" w:styleId="29">
    <w:name w:val="版权所有"/>
    <w:basedOn w:val="1"/>
    <w:qFormat/>
    <w:uiPriority w:val="0"/>
    <w:pPr>
      <w:ind w:firstLine="0" w:firstLineChars="0"/>
      <w:jc w:val="center"/>
    </w:pPr>
  </w:style>
  <w:style w:type="paragraph" w:customStyle="1" w:styleId="30">
    <w:name w:val="电话15515993457"/>
    <w:basedOn w:val="1"/>
    <w:qFormat/>
    <w:uiPriority w:val="0"/>
    <w:pPr>
      <w:ind w:firstLine="0" w:firstLineChars="0"/>
      <w:jc w:val="center"/>
    </w:pPr>
  </w:style>
  <w:style w:type="character" w:customStyle="1" w:styleId="31">
    <w:name w:val="font81"/>
    <w:basedOn w:val="1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13</Pages>
  <Words>4934</Words>
  <Characters>5146</Characters>
  <Lines>42</Lines>
  <Paragraphs>11</Paragraphs>
  <TotalTime>5</TotalTime>
  <ScaleCrop>false</ScaleCrop>
  <LinksUpToDate>false</LinksUpToDate>
  <CharactersWithSpaces>5202</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2022-06-07T03:17:46Z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9B907E5AD89E432B98E58B8F78E234D8</vt:lpwstr>
  </property>
</Properties>
</file>