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firstLineChars="200"/>
        <w:rPr>
          <w:rFonts w:asciiTheme="minorEastAsia" w:hAnsiTheme="minorEastAsia"/>
          <w:b/>
          <w:sz w:val="44"/>
          <w:szCs w:val="44"/>
        </w:rPr>
      </w:pPr>
      <w:r>
        <w:rPr>
          <w:rFonts w:hint="eastAsia" w:asciiTheme="minorEastAsia" w:hAnsiTheme="minorEastAsia"/>
          <w:b/>
          <w:sz w:val="44"/>
          <w:szCs w:val="44"/>
        </w:rPr>
        <w:t>三门峡市质量技术监督局湖滨分局</w:t>
      </w:r>
    </w:p>
    <w:p>
      <w:pPr>
        <w:ind w:firstLine="883" w:firstLineChars="200"/>
        <w:rPr>
          <w:rFonts w:asciiTheme="minorEastAsia" w:hAnsiTheme="minorEastAsia"/>
          <w:b/>
          <w:sz w:val="44"/>
          <w:szCs w:val="44"/>
        </w:rPr>
      </w:pPr>
      <w:r>
        <w:rPr>
          <w:rFonts w:hint="eastAsia" w:asciiTheme="minorEastAsia" w:hAnsiTheme="minorEastAsia"/>
          <w:b/>
          <w:sz w:val="44"/>
          <w:szCs w:val="44"/>
        </w:rPr>
        <w:t>202</w:t>
      </w:r>
      <w:r>
        <w:rPr>
          <w:rFonts w:asciiTheme="minorEastAsia" w:hAnsiTheme="minorEastAsia"/>
          <w:b/>
          <w:sz w:val="44"/>
          <w:szCs w:val="44"/>
        </w:rPr>
        <w:t>1</w:t>
      </w:r>
      <w:r>
        <w:rPr>
          <w:rFonts w:hint="eastAsia" w:asciiTheme="minorEastAsia" w:hAnsiTheme="minorEastAsia"/>
          <w:b/>
          <w:sz w:val="44"/>
          <w:szCs w:val="44"/>
        </w:rPr>
        <w:t>年整体预算支出绩效自评报告</w:t>
      </w:r>
    </w:p>
    <w:p>
      <w:pPr>
        <w:ind w:firstLine="883" w:firstLineChars="200"/>
        <w:rPr>
          <w:rFonts w:asciiTheme="minorEastAsia" w:hAnsiTheme="minorEastAsia"/>
          <w:b/>
          <w:sz w:val="44"/>
          <w:szCs w:val="44"/>
        </w:rPr>
      </w:pPr>
    </w:p>
    <w:p>
      <w:pPr>
        <w:ind w:firstLine="643" w:firstLineChars="200"/>
        <w:rPr>
          <w:rFonts w:ascii="楷体" w:hAnsi="楷体" w:eastAsia="楷体"/>
          <w:b/>
          <w:sz w:val="32"/>
          <w:szCs w:val="32"/>
        </w:rPr>
      </w:pPr>
      <w:r>
        <w:rPr>
          <w:rFonts w:hint="eastAsia" w:ascii="楷体" w:hAnsi="楷体" w:eastAsia="楷体"/>
          <w:b/>
          <w:sz w:val="32"/>
          <w:szCs w:val="32"/>
        </w:rPr>
        <w:t>一、部门概况</w:t>
      </w:r>
    </w:p>
    <w:p>
      <w:pPr>
        <w:ind w:firstLine="480" w:firstLineChars="150"/>
        <w:rPr>
          <w:rFonts w:ascii="仿宋" w:hAnsi="仿宋" w:eastAsia="仿宋"/>
          <w:sz w:val="32"/>
          <w:szCs w:val="32"/>
        </w:rPr>
      </w:pPr>
      <w:r>
        <w:rPr>
          <w:rFonts w:hint="eastAsia" w:ascii="仿宋" w:hAnsi="仿宋" w:eastAsia="仿宋"/>
          <w:sz w:val="32"/>
          <w:szCs w:val="32"/>
        </w:rPr>
        <w:t>（一）机构设置及人员情况</w:t>
      </w:r>
    </w:p>
    <w:p>
      <w:pPr>
        <w:ind w:firstLine="640" w:firstLineChars="200"/>
        <w:rPr>
          <w:rFonts w:ascii="仿宋" w:hAnsi="仿宋" w:eastAsia="仿宋"/>
          <w:sz w:val="32"/>
          <w:szCs w:val="32"/>
        </w:rPr>
      </w:pPr>
      <w:r>
        <w:rPr>
          <w:rFonts w:hint="eastAsia" w:ascii="仿宋" w:hAnsi="仿宋" w:eastAsia="仿宋"/>
          <w:sz w:val="32"/>
          <w:szCs w:val="32"/>
        </w:rPr>
        <w:t>三门峡市质量技术监督局湖滨分局（以下简称“原质监湖滨分局”），预算代码：1</w:t>
      </w:r>
      <w:r>
        <w:rPr>
          <w:rFonts w:ascii="仿宋" w:hAnsi="仿宋" w:eastAsia="仿宋"/>
          <w:sz w:val="32"/>
          <w:szCs w:val="32"/>
        </w:rPr>
        <w:t>46010</w:t>
      </w:r>
      <w:r>
        <w:rPr>
          <w:rFonts w:hint="eastAsia" w:ascii="仿宋" w:hAnsi="仿宋" w:eastAsia="仿宋"/>
          <w:sz w:val="32"/>
          <w:szCs w:val="32"/>
        </w:rPr>
        <w:t>，隶属于三门峡市市场监督管理局，</w:t>
      </w:r>
      <w:r>
        <w:rPr>
          <w:rFonts w:hint="eastAsia" w:ascii="仿宋" w:hAnsi="仿宋" w:eastAsia="仿宋"/>
          <w:color w:val="333333"/>
          <w:sz w:val="32"/>
          <w:szCs w:val="32"/>
          <w:shd w:val="clear" w:color="auto" w:fill="FFFFFF"/>
        </w:rPr>
        <w:t>单位</w:t>
      </w:r>
      <w:r>
        <w:rPr>
          <w:rFonts w:hint="eastAsia" w:ascii="仿宋" w:hAnsi="仿宋" w:eastAsia="仿宋"/>
          <w:sz w:val="32"/>
          <w:szCs w:val="32"/>
        </w:rPr>
        <w:t>性质：行政，是独立核算的行政全额拨款预算单位,。</w:t>
      </w:r>
      <w:r>
        <w:rPr>
          <w:rFonts w:ascii="仿宋" w:hAnsi="仿宋" w:eastAsia="仿宋"/>
          <w:sz w:val="32"/>
          <w:szCs w:val="32"/>
        </w:rPr>
        <w:t>2021</w:t>
      </w:r>
      <w:r>
        <w:rPr>
          <w:rFonts w:hint="eastAsia" w:ascii="仿宋" w:hAnsi="仿宋" w:eastAsia="仿宋"/>
          <w:sz w:val="32"/>
          <w:szCs w:val="32"/>
        </w:rPr>
        <w:t>年机构合并，原质监湖滨分局合并至三门峡市市场监督管理局湖滨分局，由于人员编制问题，单位合并，经费支出合并，但2</w:t>
      </w:r>
      <w:r>
        <w:rPr>
          <w:rFonts w:ascii="仿宋" w:hAnsi="仿宋" w:eastAsia="仿宋"/>
          <w:sz w:val="32"/>
          <w:szCs w:val="32"/>
        </w:rPr>
        <w:t>021</w:t>
      </w:r>
      <w:r>
        <w:rPr>
          <w:rFonts w:hint="eastAsia" w:ascii="仿宋" w:hAnsi="仿宋" w:eastAsia="仿宋"/>
          <w:sz w:val="32"/>
          <w:szCs w:val="32"/>
        </w:rPr>
        <w:t>年预算未合并。</w:t>
      </w:r>
    </w:p>
    <w:p>
      <w:pPr>
        <w:ind w:firstLine="640" w:firstLineChars="200"/>
        <w:rPr>
          <w:rFonts w:ascii="仿宋" w:hAnsi="仿宋" w:eastAsia="仿宋"/>
          <w:color w:val="333333"/>
          <w:sz w:val="32"/>
          <w:szCs w:val="32"/>
          <w:shd w:val="clear" w:color="auto" w:fill="FFFFFF"/>
        </w:rPr>
      </w:pPr>
      <w:r>
        <w:rPr>
          <w:rFonts w:hint="eastAsia" w:ascii="仿宋" w:hAnsi="仿宋" w:eastAsia="仿宋"/>
          <w:sz w:val="32"/>
          <w:szCs w:val="32"/>
        </w:rPr>
        <w:t>原质监湖滨分局行政编制：8人，截止202</w:t>
      </w:r>
      <w:r>
        <w:rPr>
          <w:rFonts w:ascii="仿宋" w:hAnsi="仿宋" w:eastAsia="仿宋"/>
          <w:sz w:val="32"/>
          <w:szCs w:val="32"/>
        </w:rPr>
        <w:t>1</w:t>
      </w:r>
      <w:r>
        <w:rPr>
          <w:rFonts w:hint="eastAsia" w:ascii="仿宋" w:hAnsi="仿宋" w:eastAsia="仿宋"/>
          <w:sz w:val="32"/>
          <w:szCs w:val="32"/>
        </w:rPr>
        <w:t>年年末在职在编人数4人，较上一年减少2人，其中一人调出，一人退休</w:t>
      </w:r>
      <w:r>
        <w:rPr>
          <w:rFonts w:hint="eastAsia" w:ascii="仿宋" w:hAnsi="仿宋" w:eastAsia="仿宋"/>
          <w:color w:val="333333"/>
          <w:sz w:val="32"/>
          <w:szCs w:val="32"/>
          <w:shd w:val="clear" w:color="auto" w:fill="FFFFFF"/>
        </w:rPr>
        <w:t>。</w:t>
      </w:r>
    </w:p>
    <w:p>
      <w:pPr>
        <w:ind w:firstLine="640" w:firstLineChars="200"/>
        <w:rPr>
          <w:rFonts w:ascii="仿宋" w:hAnsi="仿宋" w:eastAsia="仿宋"/>
          <w:color w:val="333333"/>
          <w:sz w:val="32"/>
          <w:szCs w:val="32"/>
          <w:shd w:val="clear" w:color="auto" w:fill="FFFFFF"/>
        </w:rPr>
      </w:pPr>
      <w:r>
        <w:rPr>
          <w:rFonts w:hint="eastAsia" w:ascii="仿宋" w:hAnsi="仿宋" w:eastAsia="仿宋"/>
          <w:color w:val="333333"/>
          <w:sz w:val="32"/>
          <w:szCs w:val="32"/>
          <w:shd w:val="clear" w:color="auto" w:fill="FFFFFF"/>
        </w:rPr>
        <w:t>（二）部门职能</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负责湖滨区辖区特种设备安全监督管理。负责对特种设备目录规定的锅炉、压力容器、压力管道、电梯、起重机械、客运索道、大型游乐设施、场（厂）内专用机动车辆等特种设备的安全监察工作。依法实施对湖滨区辖区特种设备生产、使用、检验检测的监督管理。负责对湖滨区辖区食品包装材料、容器的加工环节实施产品质量监督。依法对湖滨区辖区危险化学品包装物、容器生产企业实施生产许可证管理，组织开展生产加工环节产品质量安全专项整治工作。负责对湖滨区辖区生产的烟花爆竹产品质量实施监督检查，对生产不符合质量标准的烟花爆竹产品依法查处。依据职责分工，依法组织调查处理特种设备事故。</w:t>
      </w:r>
    </w:p>
    <w:p>
      <w:pPr>
        <w:ind w:firstLine="640" w:firstLineChars="200"/>
        <w:rPr>
          <w:rFonts w:ascii="仿宋" w:hAnsi="仿宋" w:eastAsia="仿宋" w:cs="Times New Roman"/>
          <w:sz w:val="32"/>
          <w:szCs w:val="32"/>
        </w:rPr>
      </w:pPr>
      <w:r>
        <w:rPr>
          <w:rFonts w:hint="eastAsia" w:ascii="仿宋" w:hAnsi="仿宋" w:eastAsia="仿宋" w:cs="Times New Roman"/>
          <w:sz w:val="32"/>
          <w:szCs w:val="32"/>
        </w:rPr>
        <w:t>（三）重点工作计划</w:t>
      </w:r>
    </w:p>
    <w:p>
      <w:pPr>
        <w:spacing w:line="600" w:lineRule="exact"/>
        <w:ind w:firstLine="640" w:firstLineChars="200"/>
        <w:rPr>
          <w:rFonts w:ascii="仿宋" w:hAnsi="仿宋" w:eastAsia="仿宋" w:cs="仿宋_GB2312"/>
          <w:bCs/>
          <w:color w:val="000000"/>
          <w:sz w:val="32"/>
          <w:szCs w:val="32"/>
        </w:rPr>
      </w:pPr>
      <w:r>
        <w:rPr>
          <w:rFonts w:hint="eastAsia" w:ascii="仿宋" w:hAnsi="仿宋" w:eastAsia="仿宋" w:cs="仿宋_GB2312"/>
          <w:bCs/>
          <w:color w:val="000000"/>
          <w:sz w:val="32"/>
          <w:szCs w:val="32"/>
        </w:rPr>
        <w:t>202</w:t>
      </w:r>
      <w:r>
        <w:rPr>
          <w:rFonts w:ascii="仿宋" w:hAnsi="仿宋" w:eastAsia="仿宋" w:cs="仿宋_GB2312"/>
          <w:bCs/>
          <w:color w:val="000000"/>
          <w:sz w:val="32"/>
          <w:szCs w:val="32"/>
        </w:rPr>
        <w:t>1</w:t>
      </w:r>
      <w:r>
        <w:rPr>
          <w:rFonts w:hint="eastAsia" w:ascii="仿宋" w:hAnsi="仿宋" w:eastAsia="仿宋" w:cs="仿宋_GB2312"/>
          <w:bCs/>
          <w:color w:val="000000"/>
          <w:sz w:val="32"/>
          <w:szCs w:val="32"/>
        </w:rPr>
        <w:t>年按照规范和维护市场秩序，营造诚实守信、公平竞争的市场环境；加大市场监管综合执法力度，完成上级下达的产品质量监督检查等工作任务履职要求。全年完成日常产品质量的监督检查、巡查，完成上级交办的打假任务，开展特种设备、农资产品等专项整治活动，处理12315、12345投诉举报。</w:t>
      </w:r>
    </w:p>
    <w:p>
      <w:pPr>
        <w:ind w:firstLine="643" w:firstLineChars="200"/>
        <w:rPr>
          <w:rFonts w:ascii="楷体" w:hAnsi="楷体" w:eastAsia="楷体"/>
          <w:b/>
          <w:sz w:val="32"/>
          <w:szCs w:val="32"/>
        </w:rPr>
      </w:pPr>
      <w:r>
        <w:rPr>
          <w:rFonts w:hint="eastAsia" w:ascii="楷体" w:hAnsi="楷体" w:eastAsia="楷体"/>
          <w:b/>
          <w:sz w:val="32"/>
          <w:szCs w:val="32"/>
        </w:rPr>
        <w:t>二、部门整体支出情况及执行情况</w:t>
      </w:r>
    </w:p>
    <w:p>
      <w:pPr>
        <w:ind w:firstLine="640" w:firstLineChars="200"/>
        <w:rPr>
          <w:rFonts w:ascii="仿宋" w:hAnsi="仿宋" w:eastAsia="仿宋"/>
          <w:sz w:val="32"/>
          <w:szCs w:val="32"/>
        </w:rPr>
      </w:pPr>
      <w:r>
        <w:rPr>
          <w:rFonts w:hint="eastAsia" w:ascii="仿宋" w:hAnsi="仿宋" w:eastAsia="仿宋"/>
          <w:sz w:val="32"/>
          <w:szCs w:val="32"/>
        </w:rPr>
        <w:t>（一）部门收支预算情况</w:t>
      </w:r>
    </w:p>
    <w:p>
      <w:pPr>
        <w:ind w:firstLine="640" w:firstLineChars="200"/>
        <w:rPr>
          <w:rFonts w:ascii="仿宋" w:hAnsi="仿宋" w:eastAsia="仿宋"/>
          <w:sz w:val="32"/>
          <w:szCs w:val="32"/>
        </w:rPr>
      </w:pPr>
      <w:r>
        <w:rPr>
          <w:rFonts w:hint="eastAsia" w:ascii="仿宋" w:hAnsi="仿宋" w:eastAsia="仿宋"/>
          <w:sz w:val="32"/>
          <w:szCs w:val="32"/>
        </w:rPr>
        <w:t>202</w:t>
      </w:r>
      <w:r>
        <w:rPr>
          <w:rFonts w:ascii="仿宋" w:hAnsi="仿宋" w:eastAsia="仿宋"/>
          <w:sz w:val="32"/>
          <w:szCs w:val="32"/>
        </w:rPr>
        <w:t>1</w:t>
      </w:r>
      <w:r>
        <w:rPr>
          <w:rFonts w:hint="eastAsia" w:ascii="仿宋" w:hAnsi="仿宋" w:eastAsia="仿宋"/>
          <w:sz w:val="32"/>
          <w:szCs w:val="32"/>
        </w:rPr>
        <w:t>年部门预算年初数119.</w:t>
      </w:r>
      <w:r>
        <w:rPr>
          <w:rFonts w:ascii="仿宋" w:hAnsi="仿宋" w:eastAsia="仿宋"/>
          <w:sz w:val="32"/>
          <w:szCs w:val="32"/>
        </w:rPr>
        <w:t>53</w:t>
      </w:r>
      <w:r>
        <w:rPr>
          <w:rFonts w:hint="eastAsia" w:ascii="仿宋" w:hAnsi="仿宋" w:eastAsia="仿宋"/>
          <w:sz w:val="32"/>
          <w:szCs w:val="32"/>
        </w:rPr>
        <w:t>万元，其中本年收入预算119.</w:t>
      </w:r>
      <w:r>
        <w:rPr>
          <w:rFonts w:ascii="仿宋" w:hAnsi="仿宋" w:eastAsia="仿宋"/>
          <w:sz w:val="32"/>
          <w:szCs w:val="32"/>
        </w:rPr>
        <w:t>53</w:t>
      </w:r>
      <w:r>
        <w:rPr>
          <w:rFonts w:hint="eastAsia" w:ascii="仿宋" w:hAnsi="仿宋" w:eastAsia="仿宋"/>
          <w:sz w:val="32"/>
          <w:szCs w:val="32"/>
        </w:rPr>
        <w:t>万元，包括：一般公共预算收入119.</w:t>
      </w:r>
      <w:r>
        <w:rPr>
          <w:rFonts w:ascii="仿宋" w:hAnsi="仿宋" w:eastAsia="仿宋"/>
          <w:sz w:val="32"/>
          <w:szCs w:val="32"/>
        </w:rPr>
        <w:t>53</w:t>
      </w:r>
      <w:r>
        <w:rPr>
          <w:rFonts w:hint="eastAsia" w:ascii="仿宋" w:hAnsi="仿宋" w:eastAsia="仿宋"/>
          <w:sz w:val="32"/>
          <w:szCs w:val="32"/>
        </w:rPr>
        <w:t>万元，政府性基金收入0元，专户管理收入0元，其他收入0元；部门结余结转资金0元。支出预算119.</w:t>
      </w:r>
      <w:r>
        <w:rPr>
          <w:rFonts w:ascii="仿宋" w:hAnsi="仿宋" w:eastAsia="仿宋"/>
          <w:sz w:val="32"/>
          <w:szCs w:val="32"/>
        </w:rPr>
        <w:t>53</w:t>
      </w:r>
      <w:r>
        <w:rPr>
          <w:rFonts w:hint="eastAsia" w:ascii="仿宋" w:hAnsi="仿宋" w:eastAsia="仿宋"/>
          <w:sz w:val="32"/>
          <w:szCs w:val="32"/>
        </w:rPr>
        <w:t>万元，其中基本支出117.</w:t>
      </w:r>
      <w:r>
        <w:rPr>
          <w:rFonts w:ascii="仿宋" w:hAnsi="仿宋" w:eastAsia="仿宋"/>
          <w:sz w:val="32"/>
          <w:szCs w:val="32"/>
        </w:rPr>
        <w:t>33</w:t>
      </w:r>
      <w:r>
        <w:rPr>
          <w:rFonts w:hint="eastAsia" w:ascii="仿宋" w:hAnsi="仿宋" w:eastAsia="仿宋"/>
          <w:sz w:val="32"/>
          <w:szCs w:val="32"/>
        </w:rPr>
        <w:t>万元，项目支出2.</w:t>
      </w:r>
      <w:r>
        <w:rPr>
          <w:rFonts w:ascii="仿宋" w:hAnsi="仿宋" w:eastAsia="仿宋"/>
          <w:sz w:val="32"/>
          <w:szCs w:val="32"/>
        </w:rPr>
        <w:t>2</w:t>
      </w:r>
      <w:r>
        <w:rPr>
          <w:rFonts w:hint="eastAsia" w:ascii="仿宋" w:hAnsi="仿宋" w:eastAsia="仿宋"/>
          <w:sz w:val="32"/>
          <w:szCs w:val="32"/>
        </w:rPr>
        <w:t>万元。</w:t>
      </w:r>
    </w:p>
    <w:p>
      <w:pPr>
        <w:ind w:firstLine="640" w:firstLineChars="200"/>
        <w:rPr>
          <w:rFonts w:ascii="仿宋" w:hAnsi="仿宋" w:eastAsia="仿宋"/>
          <w:sz w:val="32"/>
          <w:szCs w:val="32"/>
        </w:rPr>
      </w:pPr>
      <w:r>
        <w:rPr>
          <w:rFonts w:hint="eastAsia" w:ascii="仿宋" w:hAnsi="仿宋" w:eastAsia="仿宋"/>
          <w:sz w:val="32"/>
          <w:szCs w:val="32"/>
        </w:rPr>
        <w:t>(二)部门预算收支执行情况</w:t>
      </w:r>
    </w:p>
    <w:p>
      <w:pPr>
        <w:ind w:firstLine="640" w:firstLineChars="200"/>
        <w:rPr>
          <w:rFonts w:ascii="仿宋" w:hAnsi="仿宋" w:eastAsia="仿宋"/>
          <w:sz w:val="32"/>
          <w:szCs w:val="32"/>
        </w:rPr>
      </w:pPr>
      <w:r>
        <w:rPr>
          <w:rFonts w:hint="eastAsia" w:ascii="仿宋" w:hAnsi="仿宋" w:eastAsia="仿宋"/>
          <w:sz w:val="32"/>
          <w:szCs w:val="32"/>
        </w:rPr>
        <w:t>按照分局20</w:t>
      </w:r>
      <w:r>
        <w:rPr>
          <w:rFonts w:ascii="仿宋" w:hAnsi="仿宋" w:eastAsia="仿宋"/>
          <w:sz w:val="32"/>
          <w:szCs w:val="32"/>
        </w:rPr>
        <w:t>21</w:t>
      </w:r>
      <w:r>
        <w:rPr>
          <w:rFonts w:hint="eastAsia" w:ascii="仿宋" w:hAnsi="仿宋" w:eastAsia="仿宋"/>
          <w:sz w:val="32"/>
          <w:szCs w:val="32"/>
        </w:rPr>
        <w:t>年部门决算报表数据，202</w:t>
      </w:r>
      <w:r>
        <w:rPr>
          <w:rFonts w:ascii="仿宋" w:hAnsi="仿宋" w:eastAsia="仿宋"/>
          <w:sz w:val="32"/>
          <w:szCs w:val="32"/>
        </w:rPr>
        <w:t>1</w:t>
      </w:r>
      <w:r>
        <w:rPr>
          <w:rFonts w:hint="eastAsia" w:ascii="仿宋" w:hAnsi="仿宋" w:eastAsia="仿宋"/>
          <w:sz w:val="32"/>
          <w:szCs w:val="32"/>
        </w:rPr>
        <w:t>年部门预算全年执行数1</w:t>
      </w:r>
      <w:r>
        <w:rPr>
          <w:rFonts w:ascii="仿宋" w:hAnsi="仿宋" w:eastAsia="仿宋"/>
          <w:sz w:val="32"/>
          <w:szCs w:val="32"/>
        </w:rPr>
        <w:t>29.77</w:t>
      </w:r>
      <w:r>
        <w:rPr>
          <w:rFonts w:hint="eastAsia" w:ascii="仿宋" w:hAnsi="仿宋" w:eastAsia="仿宋"/>
          <w:sz w:val="32"/>
          <w:szCs w:val="32"/>
        </w:rPr>
        <w:t>万元，其中全年预算收入1</w:t>
      </w:r>
      <w:r>
        <w:rPr>
          <w:rFonts w:ascii="仿宋" w:hAnsi="仿宋" w:eastAsia="仿宋"/>
          <w:sz w:val="32"/>
          <w:szCs w:val="32"/>
        </w:rPr>
        <w:t>2</w:t>
      </w:r>
      <w:r>
        <w:rPr>
          <w:rFonts w:hint="eastAsia" w:ascii="仿宋" w:hAnsi="仿宋" w:eastAsia="仿宋"/>
          <w:sz w:val="32"/>
          <w:szCs w:val="32"/>
        </w:rPr>
        <w:t>9.</w:t>
      </w:r>
      <w:r>
        <w:rPr>
          <w:rFonts w:ascii="仿宋" w:hAnsi="仿宋" w:eastAsia="仿宋"/>
          <w:sz w:val="32"/>
          <w:szCs w:val="32"/>
        </w:rPr>
        <w:t>77</w:t>
      </w:r>
      <w:r>
        <w:rPr>
          <w:rFonts w:hint="eastAsia" w:ascii="仿宋" w:hAnsi="仿宋" w:eastAsia="仿宋"/>
          <w:sz w:val="32"/>
          <w:szCs w:val="32"/>
        </w:rPr>
        <w:t>万元。部门预算支出全年执行数1</w:t>
      </w:r>
      <w:r>
        <w:rPr>
          <w:rFonts w:ascii="仿宋" w:hAnsi="仿宋" w:eastAsia="仿宋"/>
          <w:sz w:val="32"/>
          <w:szCs w:val="32"/>
        </w:rPr>
        <w:t>23.07</w:t>
      </w:r>
      <w:r>
        <w:rPr>
          <w:rFonts w:hint="eastAsia" w:ascii="仿宋" w:hAnsi="仿宋" w:eastAsia="仿宋"/>
          <w:sz w:val="32"/>
          <w:szCs w:val="32"/>
        </w:rPr>
        <w:t>万元，其中基本支出1</w:t>
      </w:r>
      <w:r>
        <w:rPr>
          <w:rFonts w:ascii="仿宋" w:hAnsi="仿宋" w:eastAsia="仿宋"/>
          <w:sz w:val="32"/>
          <w:szCs w:val="32"/>
        </w:rPr>
        <w:t>21.90</w:t>
      </w:r>
      <w:r>
        <w:rPr>
          <w:rFonts w:hint="eastAsia" w:ascii="仿宋" w:hAnsi="仿宋" w:eastAsia="仿宋"/>
          <w:sz w:val="32"/>
          <w:szCs w:val="32"/>
        </w:rPr>
        <w:t>万元，项目支出</w:t>
      </w:r>
      <w:r>
        <w:rPr>
          <w:rFonts w:ascii="仿宋" w:hAnsi="仿宋" w:eastAsia="仿宋"/>
          <w:sz w:val="32"/>
          <w:szCs w:val="32"/>
        </w:rPr>
        <w:t>1.17</w:t>
      </w:r>
      <w:r>
        <w:rPr>
          <w:rFonts w:hint="eastAsia" w:ascii="仿宋" w:hAnsi="仿宋" w:eastAsia="仿宋"/>
          <w:sz w:val="32"/>
          <w:szCs w:val="32"/>
        </w:rPr>
        <w:t>万元。</w:t>
      </w:r>
    </w:p>
    <w:p>
      <w:pPr>
        <w:ind w:firstLine="640" w:firstLineChars="200"/>
        <w:rPr>
          <w:rFonts w:ascii="仿宋" w:hAnsi="仿宋" w:eastAsia="仿宋"/>
          <w:sz w:val="32"/>
          <w:szCs w:val="32"/>
        </w:rPr>
      </w:pPr>
      <w:r>
        <w:rPr>
          <w:rFonts w:hint="eastAsia" w:ascii="仿宋" w:hAnsi="仿宋" w:eastAsia="仿宋"/>
          <w:sz w:val="32"/>
          <w:szCs w:val="32"/>
        </w:rPr>
        <w:t>截止202</w:t>
      </w:r>
      <w:r>
        <w:rPr>
          <w:rFonts w:ascii="仿宋" w:hAnsi="仿宋" w:eastAsia="仿宋"/>
          <w:sz w:val="32"/>
          <w:szCs w:val="32"/>
        </w:rPr>
        <w:t>1</w:t>
      </w:r>
      <w:r>
        <w:rPr>
          <w:rFonts w:hint="eastAsia" w:ascii="仿宋" w:hAnsi="仿宋" w:eastAsia="仿宋"/>
          <w:sz w:val="32"/>
          <w:szCs w:val="32"/>
        </w:rPr>
        <w:t>年12月31日，部门整体预算执行率为9</w:t>
      </w:r>
      <w:r>
        <w:rPr>
          <w:rFonts w:ascii="仿宋" w:hAnsi="仿宋" w:eastAsia="仿宋"/>
          <w:sz w:val="32"/>
          <w:szCs w:val="32"/>
        </w:rPr>
        <w:t>4.84</w:t>
      </w:r>
      <w:r>
        <w:rPr>
          <w:rFonts w:hint="eastAsia" w:ascii="仿宋" w:hAnsi="仿宋" w:eastAsia="仿宋"/>
          <w:sz w:val="32"/>
          <w:szCs w:val="32"/>
        </w:rPr>
        <w:t>%，项目预算执行率：市场监管执法打假办案经费执行率6</w:t>
      </w:r>
      <w:r>
        <w:rPr>
          <w:rFonts w:ascii="仿宋" w:hAnsi="仿宋" w:eastAsia="仿宋"/>
          <w:sz w:val="32"/>
          <w:szCs w:val="32"/>
        </w:rPr>
        <w:t>8.82%</w:t>
      </w:r>
      <w:r>
        <w:rPr>
          <w:rFonts w:hint="eastAsia" w:ascii="仿宋" w:hAnsi="仿宋" w:eastAsia="仿宋"/>
          <w:sz w:val="32"/>
          <w:szCs w:val="32"/>
        </w:rPr>
        <w:t>，市场监管执法用车经费执行率0</w:t>
      </w:r>
      <w:r>
        <w:rPr>
          <w:rFonts w:ascii="仿宋" w:hAnsi="仿宋" w:eastAsia="仿宋"/>
          <w:sz w:val="32"/>
          <w:szCs w:val="32"/>
        </w:rPr>
        <w:t>%</w:t>
      </w:r>
      <w:r>
        <w:rPr>
          <w:rFonts w:hint="eastAsia" w:ascii="仿宋" w:hAnsi="仿宋" w:eastAsia="仿宋"/>
          <w:sz w:val="32"/>
          <w:szCs w:val="32"/>
        </w:rPr>
        <w:t>。</w:t>
      </w:r>
    </w:p>
    <w:p>
      <w:pPr>
        <w:spacing w:line="600" w:lineRule="exact"/>
        <w:ind w:firstLine="643" w:firstLineChars="200"/>
        <w:rPr>
          <w:rFonts w:ascii="楷体" w:hAnsi="楷体" w:eastAsia="楷体" w:cs="黑体"/>
          <w:b/>
          <w:bCs/>
          <w:color w:val="000000"/>
          <w:sz w:val="32"/>
          <w:szCs w:val="32"/>
        </w:rPr>
      </w:pPr>
      <w:r>
        <w:rPr>
          <w:rFonts w:hint="eastAsia" w:ascii="楷体" w:hAnsi="楷体" w:eastAsia="楷体" w:cs="黑体"/>
          <w:b/>
          <w:bCs/>
          <w:color w:val="000000"/>
          <w:sz w:val="32"/>
          <w:szCs w:val="32"/>
        </w:rPr>
        <w:t>三、支出基本情况</w:t>
      </w:r>
    </w:p>
    <w:p>
      <w:pPr>
        <w:spacing w:line="600" w:lineRule="exact"/>
        <w:ind w:firstLine="640" w:firstLineChars="200"/>
        <w:rPr>
          <w:rFonts w:ascii="仿宋" w:hAnsi="仿宋" w:eastAsia="仿宋" w:cs="黑体"/>
          <w:b/>
          <w:bCs/>
          <w:color w:val="000000"/>
          <w:sz w:val="32"/>
          <w:szCs w:val="32"/>
        </w:rPr>
      </w:pPr>
      <w:r>
        <w:rPr>
          <w:rFonts w:hint="eastAsia" w:ascii="仿宋" w:hAnsi="仿宋" w:eastAsia="仿宋"/>
          <w:sz w:val="32"/>
          <w:szCs w:val="32"/>
        </w:rPr>
        <w:t>截止202</w:t>
      </w:r>
      <w:r>
        <w:rPr>
          <w:rFonts w:ascii="仿宋" w:hAnsi="仿宋" w:eastAsia="仿宋"/>
          <w:sz w:val="32"/>
          <w:szCs w:val="32"/>
        </w:rPr>
        <w:t>1</w:t>
      </w:r>
      <w:r>
        <w:rPr>
          <w:rFonts w:hint="eastAsia" w:ascii="仿宋" w:hAnsi="仿宋" w:eastAsia="仿宋"/>
          <w:sz w:val="32"/>
          <w:szCs w:val="32"/>
        </w:rPr>
        <w:t>年12月31日分局</w:t>
      </w:r>
      <w:r>
        <w:rPr>
          <w:rFonts w:hint="eastAsia" w:ascii="仿宋" w:hAnsi="仿宋" w:eastAsia="仿宋" w:cs="黑体"/>
          <w:bCs/>
          <w:color w:val="000000"/>
          <w:sz w:val="32"/>
          <w:szCs w:val="32"/>
        </w:rPr>
        <w:t>基本支出：一般公共预算财政拨款：1</w:t>
      </w:r>
      <w:r>
        <w:rPr>
          <w:rFonts w:ascii="仿宋" w:hAnsi="仿宋" w:eastAsia="仿宋" w:cs="黑体"/>
          <w:bCs/>
          <w:color w:val="000000"/>
          <w:sz w:val="32"/>
          <w:szCs w:val="32"/>
        </w:rPr>
        <w:t>27.54</w:t>
      </w:r>
      <w:r>
        <w:rPr>
          <w:rFonts w:hint="eastAsia" w:ascii="仿宋" w:hAnsi="仿宋" w:eastAsia="仿宋" w:cs="黑体"/>
          <w:bCs/>
          <w:color w:val="000000"/>
          <w:sz w:val="32"/>
          <w:szCs w:val="32"/>
        </w:rPr>
        <w:t>万元，</w:t>
      </w:r>
      <w:r>
        <w:rPr>
          <w:rFonts w:hint="eastAsia" w:ascii="仿宋" w:hAnsi="仿宋" w:eastAsia="仿宋" w:cs="仿宋_GB2312"/>
          <w:bCs/>
          <w:color w:val="000000"/>
          <w:sz w:val="32"/>
          <w:szCs w:val="32"/>
        </w:rPr>
        <w:t>截止202</w:t>
      </w:r>
      <w:r>
        <w:rPr>
          <w:rFonts w:ascii="仿宋" w:hAnsi="仿宋" w:eastAsia="仿宋" w:cs="仿宋_GB2312"/>
          <w:bCs/>
          <w:color w:val="000000"/>
          <w:sz w:val="32"/>
          <w:szCs w:val="32"/>
        </w:rPr>
        <w:t>1</w:t>
      </w:r>
      <w:r>
        <w:rPr>
          <w:rFonts w:hint="eastAsia" w:ascii="仿宋" w:hAnsi="仿宋" w:eastAsia="仿宋" w:cs="仿宋_GB2312"/>
          <w:bCs/>
          <w:color w:val="000000"/>
          <w:sz w:val="32"/>
          <w:szCs w:val="32"/>
        </w:rPr>
        <w:t>年12月基本支出1</w:t>
      </w:r>
      <w:r>
        <w:rPr>
          <w:rFonts w:ascii="仿宋" w:hAnsi="仿宋" w:eastAsia="仿宋" w:cs="仿宋_GB2312"/>
          <w:bCs/>
          <w:color w:val="000000"/>
          <w:sz w:val="32"/>
          <w:szCs w:val="32"/>
        </w:rPr>
        <w:t>21.90</w:t>
      </w:r>
      <w:r>
        <w:rPr>
          <w:rFonts w:hint="eastAsia" w:ascii="仿宋" w:hAnsi="仿宋" w:eastAsia="仿宋" w:cs="仿宋_GB2312"/>
          <w:bCs/>
          <w:color w:val="000000"/>
          <w:sz w:val="32"/>
          <w:szCs w:val="32"/>
        </w:rPr>
        <w:t>万元，预算执行率</w:t>
      </w:r>
      <w:r>
        <w:rPr>
          <w:rFonts w:ascii="仿宋" w:hAnsi="仿宋" w:eastAsia="仿宋" w:cs="仿宋_GB2312"/>
          <w:bCs/>
          <w:color w:val="000000"/>
          <w:sz w:val="32"/>
          <w:szCs w:val="32"/>
        </w:rPr>
        <w:t>95.58</w:t>
      </w:r>
      <w:r>
        <w:rPr>
          <w:rFonts w:hint="eastAsia" w:ascii="仿宋" w:hAnsi="仿宋" w:eastAsia="仿宋" w:cs="仿宋_GB2312"/>
          <w:bCs/>
          <w:color w:val="000000"/>
          <w:sz w:val="32"/>
          <w:szCs w:val="32"/>
        </w:rPr>
        <w:t>%。</w:t>
      </w:r>
    </w:p>
    <w:p>
      <w:pPr>
        <w:spacing w:line="600" w:lineRule="exact"/>
        <w:ind w:firstLine="640" w:firstLineChars="200"/>
        <w:rPr>
          <w:rFonts w:ascii="仿宋" w:hAnsi="仿宋" w:eastAsia="仿宋" w:cs="仿宋_GB2312"/>
          <w:bCs/>
          <w:color w:val="000000"/>
          <w:sz w:val="32"/>
          <w:szCs w:val="32"/>
        </w:rPr>
      </w:pPr>
      <w:r>
        <w:rPr>
          <w:rFonts w:hint="eastAsia" w:ascii="仿宋" w:hAnsi="仿宋" w:eastAsia="仿宋"/>
          <w:sz w:val="32"/>
          <w:szCs w:val="32"/>
        </w:rPr>
        <w:t>截止202</w:t>
      </w:r>
      <w:r>
        <w:rPr>
          <w:rFonts w:ascii="仿宋" w:hAnsi="仿宋" w:eastAsia="仿宋"/>
          <w:sz w:val="32"/>
          <w:szCs w:val="32"/>
        </w:rPr>
        <w:t>1</w:t>
      </w:r>
      <w:r>
        <w:rPr>
          <w:rFonts w:hint="eastAsia" w:ascii="仿宋" w:hAnsi="仿宋" w:eastAsia="仿宋"/>
          <w:sz w:val="32"/>
          <w:szCs w:val="32"/>
        </w:rPr>
        <w:t>年12月31日分局</w:t>
      </w:r>
      <w:r>
        <w:rPr>
          <w:rFonts w:hint="eastAsia" w:ascii="仿宋" w:hAnsi="仿宋" w:eastAsia="仿宋" w:cs="仿宋_GB2312"/>
          <w:bCs/>
          <w:color w:val="000000"/>
          <w:sz w:val="32"/>
          <w:szCs w:val="32"/>
        </w:rPr>
        <w:t>项目支出：一般公共预算财政拨款：市场监管执法2</w:t>
      </w:r>
      <w:r>
        <w:rPr>
          <w:rFonts w:ascii="仿宋" w:hAnsi="仿宋" w:eastAsia="仿宋" w:cs="仿宋_GB2312"/>
          <w:bCs/>
          <w:color w:val="000000"/>
          <w:sz w:val="32"/>
          <w:szCs w:val="32"/>
        </w:rPr>
        <w:t>.2</w:t>
      </w:r>
      <w:r>
        <w:rPr>
          <w:rFonts w:hint="eastAsia" w:ascii="仿宋" w:hAnsi="仿宋" w:eastAsia="仿宋" w:cs="仿宋_GB2312"/>
          <w:bCs/>
          <w:color w:val="000000"/>
          <w:sz w:val="32"/>
          <w:szCs w:val="32"/>
        </w:rPr>
        <w:t>万元，其中：打假办案经费1</w:t>
      </w:r>
      <w:r>
        <w:rPr>
          <w:rFonts w:ascii="仿宋" w:hAnsi="仿宋" w:eastAsia="仿宋" w:cs="仿宋_GB2312"/>
          <w:bCs/>
          <w:color w:val="000000"/>
          <w:sz w:val="32"/>
          <w:szCs w:val="32"/>
        </w:rPr>
        <w:t>.7</w:t>
      </w:r>
      <w:r>
        <w:rPr>
          <w:rFonts w:hint="eastAsia" w:ascii="仿宋" w:hAnsi="仿宋" w:eastAsia="仿宋" w:cs="仿宋_GB2312"/>
          <w:bCs/>
          <w:color w:val="000000"/>
          <w:sz w:val="32"/>
          <w:szCs w:val="32"/>
        </w:rPr>
        <w:t>万元，执法用车经费0.</w:t>
      </w:r>
      <w:r>
        <w:rPr>
          <w:rFonts w:ascii="仿宋" w:hAnsi="仿宋" w:eastAsia="仿宋" w:cs="仿宋_GB2312"/>
          <w:bCs/>
          <w:color w:val="000000"/>
          <w:sz w:val="32"/>
          <w:szCs w:val="32"/>
        </w:rPr>
        <w:t>5</w:t>
      </w:r>
      <w:r>
        <w:rPr>
          <w:rFonts w:hint="eastAsia" w:ascii="仿宋" w:hAnsi="仿宋" w:eastAsia="仿宋" w:cs="仿宋_GB2312"/>
          <w:bCs/>
          <w:color w:val="000000"/>
          <w:sz w:val="32"/>
          <w:szCs w:val="32"/>
        </w:rPr>
        <w:t>万元。截止202</w:t>
      </w:r>
      <w:r>
        <w:rPr>
          <w:rFonts w:ascii="仿宋" w:hAnsi="仿宋" w:eastAsia="仿宋" w:cs="仿宋_GB2312"/>
          <w:bCs/>
          <w:color w:val="000000"/>
          <w:sz w:val="32"/>
          <w:szCs w:val="32"/>
        </w:rPr>
        <w:t>1</w:t>
      </w:r>
      <w:r>
        <w:rPr>
          <w:rFonts w:hint="eastAsia" w:ascii="仿宋" w:hAnsi="仿宋" w:eastAsia="仿宋" w:cs="仿宋_GB2312"/>
          <w:bCs/>
          <w:color w:val="000000"/>
          <w:sz w:val="32"/>
          <w:szCs w:val="32"/>
        </w:rPr>
        <w:t>年12月项目支出1</w:t>
      </w:r>
      <w:r>
        <w:rPr>
          <w:rFonts w:ascii="仿宋" w:hAnsi="仿宋" w:eastAsia="仿宋" w:cs="仿宋_GB2312"/>
          <w:bCs/>
          <w:color w:val="000000"/>
          <w:sz w:val="32"/>
          <w:szCs w:val="32"/>
        </w:rPr>
        <w:t>.17</w:t>
      </w:r>
      <w:r>
        <w:rPr>
          <w:rFonts w:hint="eastAsia" w:ascii="仿宋" w:hAnsi="仿宋" w:eastAsia="仿宋" w:cs="仿宋_GB2312"/>
          <w:bCs/>
          <w:color w:val="000000"/>
          <w:sz w:val="32"/>
          <w:szCs w:val="32"/>
        </w:rPr>
        <w:t>万元，</w:t>
      </w:r>
      <w:bookmarkStart w:id="1" w:name="_GoBack"/>
      <w:bookmarkEnd w:id="1"/>
      <w:r>
        <w:rPr>
          <w:rFonts w:hint="eastAsia" w:ascii="仿宋" w:hAnsi="仿宋" w:eastAsia="仿宋" w:cs="仿宋_GB2312"/>
          <w:bCs/>
          <w:color w:val="000000"/>
          <w:sz w:val="32"/>
          <w:szCs w:val="32"/>
        </w:rPr>
        <w:t>其中：打假办案经费支出1</w:t>
      </w:r>
      <w:r>
        <w:rPr>
          <w:rFonts w:ascii="仿宋" w:hAnsi="仿宋" w:eastAsia="仿宋" w:cs="仿宋_GB2312"/>
          <w:bCs/>
          <w:color w:val="000000"/>
          <w:sz w:val="32"/>
          <w:szCs w:val="32"/>
        </w:rPr>
        <w:t>.17</w:t>
      </w:r>
      <w:r>
        <w:rPr>
          <w:rFonts w:hint="eastAsia" w:ascii="仿宋" w:hAnsi="仿宋" w:eastAsia="仿宋" w:cs="仿宋_GB2312"/>
          <w:bCs/>
          <w:color w:val="000000"/>
          <w:sz w:val="32"/>
          <w:szCs w:val="32"/>
        </w:rPr>
        <w:t>万元，执法用车经费支出0万元，</w:t>
      </w:r>
      <w:r>
        <w:rPr>
          <w:rFonts w:hint="eastAsia" w:ascii="仿宋" w:hAnsi="仿宋" w:eastAsia="仿宋"/>
          <w:sz w:val="32"/>
          <w:szCs w:val="32"/>
        </w:rPr>
        <w:t>市场监管执法打假办案经费执行率6</w:t>
      </w:r>
      <w:r>
        <w:rPr>
          <w:rFonts w:ascii="仿宋" w:hAnsi="仿宋" w:eastAsia="仿宋"/>
          <w:sz w:val="32"/>
          <w:szCs w:val="32"/>
        </w:rPr>
        <w:t>8.82%</w:t>
      </w:r>
      <w:r>
        <w:rPr>
          <w:rFonts w:hint="eastAsia" w:ascii="仿宋" w:hAnsi="仿宋" w:eastAsia="仿宋"/>
          <w:sz w:val="32"/>
          <w:szCs w:val="32"/>
        </w:rPr>
        <w:t>，市场监管执法用车经费执行率0</w:t>
      </w:r>
      <w:r>
        <w:rPr>
          <w:rFonts w:ascii="仿宋" w:hAnsi="仿宋" w:eastAsia="仿宋"/>
          <w:sz w:val="32"/>
          <w:szCs w:val="32"/>
        </w:rPr>
        <w:t>%</w:t>
      </w:r>
      <w:r>
        <w:rPr>
          <w:rFonts w:hint="eastAsia" w:ascii="仿宋" w:hAnsi="仿宋" w:eastAsia="仿宋" w:cs="仿宋_GB2312"/>
          <w:bCs/>
          <w:color w:val="000000"/>
          <w:sz w:val="32"/>
          <w:szCs w:val="32"/>
        </w:rPr>
        <w:t>。</w:t>
      </w:r>
    </w:p>
    <w:p>
      <w:pPr>
        <w:spacing w:line="600" w:lineRule="exact"/>
        <w:ind w:firstLine="636" w:firstLineChars="198"/>
        <w:rPr>
          <w:rFonts w:ascii="楷体" w:hAnsi="楷体" w:eastAsia="楷体" w:cs="黑体"/>
          <w:b/>
          <w:bCs/>
          <w:color w:val="000000"/>
          <w:sz w:val="32"/>
          <w:szCs w:val="32"/>
        </w:rPr>
      </w:pPr>
      <w:r>
        <w:rPr>
          <w:rFonts w:hint="eastAsia" w:ascii="楷体" w:hAnsi="楷体" w:eastAsia="楷体" w:cs="黑体"/>
          <w:b/>
          <w:bCs/>
          <w:color w:val="000000"/>
          <w:sz w:val="32"/>
          <w:szCs w:val="32"/>
        </w:rPr>
        <w:t>四、绩效自评工作开展情况</w:t>
      </w:r>
    </w:p>
    <w:p>
      <w:pPr>
        <w:pStyle w:val="5"/>
        <w:spacing w:before="0" w:beforeAutospacing="0" w:after="0" w:afterAutospacing="0"/>
        <w:ind w:firstLine="640" w:firstLineChars="200"/>
        <w:rPr>
          <w:rFonts w:ascii="仿宋" w:hAnsi="仿宋" w:eastAsia="仿宋"/>
          <w:color w:val="333333"/>
          <w:sz w:val="32"/>
          <w:szCs w:val="32"/>
        </w:rPr>
      </w:pPr>
      <w:r>
        <w:rPr>
          <w:rFonts w:hint="eastAsia" w:ascii="仿宋" w:hAnsi="仿宋" w:eastAsia="仿宋"/>
          <w:color w:val="333333"/>
          <w:sz w:val="32"/>
          <w:szCs w:val="32"/>
        </w:rPr>
        <w:t>按照市局财务科要求，分局组织财务人员对使用财政资金安排的项目支出开展绩效自评，实现绩效自评“全覆盖”。截止12月底，自评结果为“优秀”。项目自评报告符合规定要求，按照要求设置了一定数量且能衡量项目实际绩效的具体指标。项目资金使用合法合规，项目实施取得了较好的效益。</w:t>
      </w:r>
    </w:p>
    <w:p>
      <w:pPr>
        <w:pStyle w:val="5"/>
        <w:spacing w:before="0" w:beforeAutospacing="0" w:after="0" w:afterAutospacing="0"/>
        <w:ind w:firstLine="640" w:firstLineChars="200"/>
        <w:rPr>
          <w:rFonts w:ascii="仿宋" w:hAnsi="仿宋" w:eastAsia="仿宋"/>
          <w:color w:val="333333"/>
          <w:sz w:val="32"/>
          <w:szCs w:val="32"/>
        </w:rPr>
      </w:pPr>
    </w:p>
    <w:p>
      <w:pPr>
        <w:spacing w:line="600" w:lineRule="exact"/>
        <w:ind w:firstLine="643" w:firstLineChars="200"/>
        <w:rPr>
          <w:rFonts w:ascii="楷体" w:hAnsi="楷体" w:eastAsia="楷体" w:cs="黑体"/>
          <w:b/>
          <w:bCs/>
          <w:color w:val="000000"/>
          <w:sz w:val="32"/>
          <w:szCs w:val="32"/>
        </w:rPr>
      </w:pPr>
      <w:r>
        <w:rPr>
          <w:rFonts w:hint="eastAsia" w:ascii="楷体" w:hAnsi="楷体" w:eastAsia="楷体" w:cs="黑体"/>
          <w:b/>
          <w:bCs/>
          <w:color w:val="000000"/>
          <w:sz w:val="32"/>
          <w:szCs w:val="32"/>
        </w:rPr>
        <w:t>五、绩效自评结果及分析</w:t>
      </w:r>
    </w:p>
    <w:p>
      <w:pPr>
        <w:spacing w:line="600" w:lineRule="exact"/>
        <w:ind w:firstLine="640" w:firstLineChars="200"/>
        <w:rPr>
          <w:rFonts w:ascii="仿宋" w:hAnsi="仿宋" w:eastAsia="仿宋" w:cs="楷体_GB2312"/>
          <w:bCs/>
          <w:color w:val="000000"/>
          <w:sz w:val="32"/>
          <w:szCs w:val="32"/>
        </w:rPr>
      </w:pPr>
      <w:r>
        <w:rPr>
          <w:rFonts w:hint="eastAsia" w:ascii="仿宋" w:hAnsi="仿宋" w:eastAsia="仿宋" w:cs="楷体_GB2312"/>
          <w:bCs/>
          <w:color w:val="000000"/>
          <w:sz w:val="32"/>
          <w:szCs w:val="32"/>
        </w:rPr>
        <w:t>（一）自评结果</w:t>
      </w:r>
    </w:p>
    <w:p>
      <w:pPr>
        <w:spacing w:line="600" w:lineRule="exact"/>
        <w:ind w:firstLine="640" w:firstLineChars="200"/>
        <w:rPr>
          <w:rFonts w:ascii="仿宋" w:hAnsi="仿宋" w:eastAsia="仿宋" w:cs="仿宋_GB2312"/>
          <w:bCs/>
          <w:color w:val="000000"/>
          <w:sz w:val="32"/>
          <w:szCs w:val="32"/>
        </w:rPr>
      </w:pPr>
      <w:r>
        <w:rPr>
          <w:rFonts w:hint="eastAsia" w:ascii="仿宋" w:hAnsi="仿宋" w:eastAsia="仿宋" w:cs="仿宋_GB2312"/>
          <w:bCs/>
          <w:color w:val="000000"/>
          <w:sz w:val="32"/>
          <w:szCs w:val="32"/>
        </w:rPr>
        <w:t>202</w:t>
      </w:r>
      <w:r>
        <w:rPr>
          <w:rFonts w:ascii="仿宋" w:hAnsi="仿宋" w:eastAsia="仿宋" w:cs="仿宋_GB2312"/>
          <w:bCs/>
          <w:color w:val="000000"/>
          <w:sz w:val="32"/>
          <w:szCs w:val="32"/>
        </w:rPr>
        <w:t>1</w:t>
      </w:r>
      <w:r>
        <w:rPr>
          <w:rFonts w:hint="eastAsia" w:ascii="仿宋" w:hAnsi="仿宋" w:eastAsia="仿宋" w:cs="仿宋_GB2312"/>
          <w:bCs/>
          <w:color w:val="000000"/>
          <w:sz w:val="32"/>
          <w:szCs w:val="32"/>
        </w:rPr>
        <w:t>年分局完成绩效目标的项目</w:t>
      </w:r>
      <w:r>
        <w:rPr>
          <w:rFonts w:ascii="仿宋" w:hAnsi="仿宋" w:eastAsia="仿宋" w:cs="仿宋_GB2312"/>
          <w:bCs/>
          <w:color w:val="000000"/>
          <w:sz w:val="32"/>
          <w:szCs w:val="32"/>
        </w:rPr>
        <w:t>1</w:t>
      </w:r>
      <w:r>
        <w:rPr>
          <w:rFonts w:hint="eastAsia" w:ascii="仿宋" w:hAnsi="仿宋" w:eastAsia="仿宋" w:cs="仿宋_GB2312"/>
          <w:bCs/>
          <w:color w:val="000000"/>
          <w:sz w:val="32"/>
          <w:szCs w:val="32"/>
        </w:rPr>
        <w:t>个，指标完成有偏差的项目</w:t>
      </w:r>
      <w:r>
        <w:rPr>
          <w:rFonts w:ascii="仿宋" w:hAnsi="仿宋" w:eastAsia="仿宋" w:cs="仿宋_GB2312"/>
          <w:bCs/>
          <w:color w:val="000000"/>
          <w:sz w:val="32"/>
          <w:szCs w:val="32"/>
        </w:rPr>
        <w:t>0</w:t>
      </w:r>
      <w:r>
        <w:rPr>
          <w:rFonts w:hint="eastAsia" w:ascii="仿宋" w:hAnsi="仿宋" w:eastAsia="仿宋" w:cs="仿宋_GB2312"/>
          <w:bCs/>
          <w:color w:val="000000"/>
          <w:sz w:val="32"/>
          <w:szCs w:val="32"/>
        </w:rPr>
        <w:t>个、偏差较大（20%及以上）的项目</w:t>
      </w:r>
      <w:r>
        <w:rPr>
          <w:rFonts w:ascii="仿宋" w:hAnsi="仿宋" w:eastAsia="仿宋" w:cs="仿宋_GB2312"/>
          <w:bCs/>
          <w:color w:val="000000"/>
          <w:sz w:val="32"/>
          <w:szCs w:val="32"/>
        </w:rPr>
        <w:t>1</w:t>
      </w:r>
      <w:r>
        <w:rPr>
          <w:rFonts w:hint="eastAsia" w:ascii="仿宋" w:hAnsi="仿宋" w:eastAsia="仿宋" w:cs="仿宋_GB2312"/>
          <w:bCs/>
          <w:color w:val="000000"/>
          <w:sz w:val="32"/>
          <w:szCs w:val="32"/>
        </w:rPr>
        <w:t>个，存在偏差的指标占比</w:t>
      </w:r>
      <w:r>
        <w:rPr>
          <w:rFonts w:ascii="仿宋" w:hAnsi="仿宋" w:eastAsia="仿宋" w:cs="仿宋_GB2312"/>
          <w:bCs/>
          <w:color w:val="000000"/>
          <w:sz w:val="32"/>
          <w:szCs w:val="32"/>
        </w:rPr>
        <w:t>50</w:t>
      </w:r>
      <w:r>
        <w:rPr>
          <w:rFonts w:hint="eastAsia" w:ascii="仿宋" w:hAnsi="仿宋" w:eastAsia="仿宋" w:cs="仿宋_GB2312"/>
          <w:bCs/>
          <w:color w:val="000000"/>
          <w:sz w:val="32"/>
          <w:szCs w:val="32"/>
        </w:rPr>
        <w:t>%。</w:t>
      </w:r>
    </w:p>
    <w:p>
      <w:pPr>
        <w:spacing w:line="600" w:lineRule="exact"/>
        <w:ind w:firstLine="640" w:firstLineChars="200"/>
        <w:rPr>
          <w:rFonts w:ascii="仿宋" w:hAnsi="仿宋" w:eastAsia="仿宋" w:cs="楷体_GB2312"/>
          <w:bCs/>
          <w:color w:val="000000"/>
          <w:sz w:val="32"/>
          <w:szCs w:val="32"/>
        </w:rPr>
      </w:pPr>
      <w:r>
        <w:rPr>
          <w:rFonts w:hint="eastAsia" w:ascii="仿宋" w:hAnsi="仿宋" w:eastAsia="仿宋" w:cs="楷体_GB2312"/>
          <w:bCs/>
          <w:color w:val="000000"/>
          <w:sz w:val="32"/>
          <w:szCs w:val="32"/>
        </w:rPr>
        <w:t>（二）偏差较大项目说明</w:t>
      </w:r>
    </w:p>
    <w:p>
      <w:pPr>
        <w:spacing w:line="600" w:lineRule="exact"/>
        <w:ind w:firstLine="800" w:firstLineChars="250"/>
        <w:rPr>
          <w:rFonts w:ascii="仿宋" w:hAnsi="仿宋" w:eastAsia="仿宋" w:cs="仿宋_GB2312"/>
          <w:bCs/>
          <w:color w:val="000000"/>
          <w:sz w:val="32"/>
          <w:szCs w:val="32"/>
        </w:rPr>
      </w:pPr>
      <w:r>
        <w:rPr>
          <w:rFonts w:hint="eastAsia" w:ascii="仿宋" w:hAnsi="仿宋" w:eastAsia="仿宋" w:cs="仿宋_GB2312"/>
          <w:bCs/>
          <w:color w:val="000000"/>
          <w:sz w:val="32"/>
          <w:szCs w:val="32"/>
        </w:rPr>
        <w:t>截止202</w:t>
      </w:r>
      <w:r>
        <w:rPr>
          <w:rFonts w:ascii="仿宋" w:hAnsi="仿宋" w:eastAsia="仿宋" w:cs="仿宋_GB2312"/>
          <w:bCs/>
          <w:color w:val="000000"/>
          <w:sz w:val="32"/>
          <w:szCs w:val="32"/>
        </w:rPr>
        <w:t>1</w:t>
      </w:r>
      <w:r>
        <w:rPr>
          <w:rFonts w:hint="eastAsia" w:ascii="仿宋" w:hAnsi="仿宋" w:eastAsia="仿宋" w:cs="仿宋_GB2312"/>
          <w:bCs/>
          <w:color w:val="000000"/>
          <w:sz w:val="32"/>
          <w:szCs w:val="32"/>
        </w:rPr>
        <w:t>年12月项目支出1</w:t>
      </w:r>
      <w:r>
        <w:rPr>
          <w:rFonts w:ascii="仿宋" w:hAnsi="仿宋" w:eastAsia="仿宋" w:cs="仿宋_GB2312"/>
          <w:bCs/>
          <w:color w:val="000000"/>
          <w:sz w:val="32"/>
          <w:szCs w:val="32"/>
        </w:rPr>
        <w:t>.17</w:t>
      </w:r>
      <w:r>
        <w:rPr>
          <w:rFonts w:hint="eastAsia" w:ascii="仿宋" w:hAnsi="仿宋" w:eastAsia="仿宋" w:cs="仿宋_GB2312"/>
          <w:bCs/>
          <w:color w:val="000000"/>
          <w:sz w:val="32"/>
          <w:szCs w:val="32"/>
        </w:rPr>
        <w:t>万元，打假办案经费支出1</w:t>
      </w:r>
      <w:r>
        <w:rPr>
          <w:rFonts w:ascii="仿宋" w:hAnsi="仿宋" w:eastAsia="仿宋" w:cs="仿宋_GB2312"/>
          <w:bCs/>
          <w:color w:val="000000"/>
          <w:sz w:val="32"/>
          <w:szCs w:val="32"/>
        </w:rPr>
        <w:t>.17</w:t>
      </w:r>
      <w:r>
        <w:rPr>
          <w:rFonts w:hint="eastAsia" w:ascii="仿宋" w:hAnsi="仿宋" w:eastAsia="仿宋" w:cs="仿宋_GB2312"/>
          <w:bCs/>
          <w:color w:val="000000"/>
          <w:sz w:val="32"/>
          <w:szCs w:val="32"/>
        </w:rPr>
        <w:t>万元，执法用车经费支出0万元，</w:t>
      </w:r>
      <w:r>
        <w:rPr>
          <w:rFonts w:hint="eastAsia" w:ascii="仿宋" w:hAnsi="仿宋" w:eastAsia="仿宋"/>
          <w:sz w:val="32"/>
          <w:szCs w:val="32"/>
        </w:rPr>
        <w:t>市场监管执法打假办案经费执行率6</w:t>
      </w:r>
      <w:r>
        <w:rPr>
          <w:rFonts w:ascii="仿宋" w:hAnsi="仿宋" w:eastAsia="仿宋"/>
          <w:sz w:val="32"/>
          <w:szCs w:val="32"/>
        </w:rPr>
        <w:t>8.82%</w:t>
      </w:r>
      <w:r>
        <w:rPr>
          <w:rFonts w:hint="eastAsia" w:ascii="仿宋" w:hAnsi="仿宋" w:eastAsia="仿宋"/>
          <w:sz w:val="32"/>
          <w:szCs w:val="32"/>
        </w:rPr>
        <w:t>，市场监管执法用车经费执行率0</w:t>
      </w:r>
      <w:r>
        <w:rPr>
          <w:rFonts w:ascii="仿宋" w:hAnsi="仿宋" w:eastAsia="仿宋"/>
          <w:sz w:val="32"/>
          <w:szCs w:val="32"/>
        </w:rPr>
        <w:t>%</w:t>
      </w:r>
      <w:r>
        <w:rPr>
          <w:rFonts w:hint="eastAsia" w:ascii="仿宋" w:hAnsi="仿宋" w:eastAsia="仿宋" w:cs="仿宋_GB2312"/>
          <w:bCs/>
          <w:color w:val="000000"/>
          <w:sz w:val="32"/>
          <w:szCs w:val="32"/>
        </w:rPr>
        <w:t>。</w:t>
      </w:r>
    </w:p>
    <w:p>
      <w:pPr>
        <w:spacing w:line="600" w:lineRule="exact"/>
        <w:ind w:firstLine="640" w:firstLineChars="200"/>
        <w:rPr>
          <w:rFonts w:ascii="仿宋" w:hAnsi="仿宋" w:eastAsia="仿宋" w:cs="仿宋_GB2312"/>
          <w:bCs/>
          <w:color w:val="000000"/>
          <w:sz w:val="32"/>
          <w:szCs w:val="32"/>
        </w:rPr>
      </w:pPr>
      <w:bookmarkStart w:id="0" w:name="_Hlk101711384"/>
      <w:r>
        <w:rPr>
          <w:rFonts w:hint="eastAsia" w:ascii="仿宋" w:hAnsi="仿宋" w:eastAsia="仿宋" w:cs="仿宋_GB2312"/>
          <w:bCs/>
          <w:color w:val="000000"/>
          <w:sz w:val="32"/>
          <w:szCs w:val="32"/>
        </w:rPr>
        <w:t>市场监管执法打假办案经费执行率为6</w:t>
      </w:r>
      <w:r>
        <w:rPr>
          <w:rFonts w:ascii="仿宋" w:hAnsi="仿宋" w:eastAsia="仿宋" w:cs="仿宋_GB2312"/>
          <w:bCs/>
          <w:color w:val="000000"/>
          <w:sz w:val="32"/>
          <w:szCs w:val="32"/>
        </w:rPr>
        <w:t>8.82%</w:t>
      </w:r>
      <w:r>
        <w:rPr>
          <w:rFonts w:hint="eastAsia" w:ascii="仿宋" w:hAnsi="仿宋" w:eastAsia="仿宋" w:cs="仿宋_GB2312"/>
          <w:bCs/>
          <w:color w:val="000000"/>
          <w:sz w:val="32"/>
          <w:szCs w:val="32"/>
        </w:rPr>
        <w:t>，原因如下：一是机构合并，人员变动且减少，办案经费支出减少；二是2</w:t>
      </w:r>
      <w:r>
        <w:rPr>
          <w:rFonts w:ascii="仿宋" w:hAnsi="仿宋" w:eastAsia="仿宋" w:cs="仿宋_GB2312"/>
          <w:bCs/>
          <w:color w:val="000000"/>
          <w:sz w:val="32"/>
          <w:szCs w:val="32"/>
        </w:rPr>
        <w:t>020</w:t>
      </w:r>
      <w:r>
        <w:rPr>
          <w:rFonts w:hint="eastAsia" w:ascii="仿宋" w:hAnsi="仿宋" w:eastAsia="仿宋" w:cs="仿宋_GB2312"/>
          <w:bCs/>
          <w:color w:val="000000"/>
          <w:sz w:val="32"/>
          <w:szCs w:val="32"/>
        </w:rPr>
        <w:t>年打假办案经费结余1</w:t>
      </w:r>
      <w:r>
        <w:rPr>
          <w:rFonts w:ascii="仿宋" w:hAnsi="仿宋" w:eastAsia="仿宋" w:cs="仿宋_GB2312"/>
          <w:bCs/>
          <w:color w:val="000000"/>
          <w:sz w:val="32"/>
          <w:szCs w:val="32"/>
        </w:rPr>
        <w:t>.72</w:t>
      </w:r>
      <w:r>
        <w:rPr>
          <w:rFonts w:hint="eastAsia" w:ascii="仿宋" w:hAnsi="仿宋" w:eastAsia="仿宋" w:cs="仿宋_GB2312"/>
          <w:bCs/>
          <w:color w:val="000000"/>
          <w:sz w:val="32"/>
          <w:szCs w:val="32"/>
        </w:rPr>
        <w:t>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市场监管执法用车经费执行率0</w:t>
      </w:r>
      <w:r>
        <w:rPr>
          <w:rFonts w:ascii="仿宋" w:hAnsi="仿宋" w:eastAsia="仿宋"/>
          <w:sz w:val="32"/>
          <w:szCs w:val="32"/>
        </w:rPr>
        <w:t>%</w:t>
      </w:r>
      <w:r>
        <w:rPr>
          <w:rFonts w:hint="eastAsia" w:ascii="仿宋" w:hAnsi="仿宋" w:eastAsia="仿宋"/>
          <w:sz w:val="32"/>
          <w:szCs w:val="32"/>
        </w:rPr>
        <w:t>，原因如下：一是机构合并原质监局市局统筹安排的车辆归还，原质监局湖滨分局无车辆使用；二是机构合并原质监局湖滨分局车辆使用由市场监督管理局湖滨分局统一安排。</w:t>
      </w:r>
    </w:p>
    <w:bookmarkEnd w:id="0"/>
    <w:p>
      <w:pPr>
        <w:spacing w:line="600" w:lineRule="exact"/>
        <w:ind w:left="600"/>
        <w:rPr>
          <w:rFonts w:ascii="楷体" w:hAnsi="楷体" w:eastAsia="楷体" w:cs="黑体"/>
          <w:b/>
          <w:bCs/>
          <w:color w:val="000000"/>
          <w:sz w:val="32"/>
          <w:szCs w:val="32"/>
        </w:rPr>
      </w:pPr>
      <w:r>
        <w:rPr>
          <w:rFonts w:hint="eastAsia" w:ascii="楷体" w:hAnsi="楷体" w:eastAsia="楷体" w:cs="黑体"/>
          <w:b/>
          <w:bCs/>
          <w:color w:val="000000"/>
          <w:sz w:val="32"/>
          <w:szCs w:val="32"/>
        </w:rPr>
        <w:t>六、自评发现的问题及整改措施</w:t>
      </w:r>
    </w:p>
    <w:p>
      <w:pPr>
        <w:ind w:firstLine="640" w:firstLineChars="200"/>
        <w:rPr>
          <w:rFonts w:ascii="仿宋" w:hAnsi="仿宋" w:eastAsia="仿宋" w:cs="黑体"/>
          <w:bCs/>
          <w:color w:val="000000"/>
          <w:sz w:val="32"/>
          <w:szCs w:val="32"/>
        </w:rPr>
      </w:pPr>
      <w:r>
        <w:rPr>
          <w:rFonts w:hint="eastAsia" w:ascii="仿宋" w:hAnsi="仿宋" w:eastAsia="仿宋"/>
          <w:color w:val="333333"/>
          <w:sz w:val="32"/>
          <w:szCs w:val="32"/>
        </w:rPr>
        <w:t>一是自评打分缺少有力的材料佐证，随意性较大，自评满分率高；二是自评报告以反映项目实施依据、实施内容及具体支出金额和预算执行率为主，没有深入查找剖析项目实施过程中存在的问题,并提出相对应的改进措施；三是由于分局项目少资金少，对绩效自评工作不够重视。</w:t>
      </w:r>
    </w:p>
    <w:p>
      <w:pPr>
        <w:ind w:firstLine="803" w:firstLineChars="250"/>
        <w:rPr>
          <w:rFonts w:ascii="楷体" w:hAnsi="楷体" w:eastAsia="楷体" w:cs="黑体"/>
          <w:b/>
          <w:bCs/>
          <w:color w:val="000000"/>
          <w:sz w:val="32"/>
          <w:szCs w:val="32"/>
        </w:rPr>
      </w:pPr>
      <w:r>
        <w:rPr>
          <w:rFonts w:hint="eastAsia" w:ascii="楷体" w:hAnsi="楷体" w:eastAsia="楷体" w:cs="黑体"/>
          <w:b/>
          <w:bCs/>
          <w:color w:val="000000"/>
          <w:sz w:val="32"/>
          <w:szCs w:val="32"/>
        </w:rPr>
        <w:t>七、绩效自评工作建议及预算安排建议</w:t>
      </w:r>
    </w:p>
    <w:p>
      <w:pPr>
        <w:pStyle w:val="5"/>
        <w:spacing w:before="0" w:beforeAutospacing="0" w:after="0" w:afterAutospacing="0"/>
        <w:ind w:firstLine="640" w:firstLineChars="200"/>
        <w:rPr>
          <w:rFonts w:ascii="仿宋" w:hAnsi="仿宋" w:eastAsia="仿宋"/>
          <w:color w:val="333333"/>
          <w:sz w:val="32"/>
          <w:szCs w:val="32"/>
        </w:rPr>
      </w:pPr>
      <w:r>
        <w:rPr>
          <w:rFonts w:hint="eastAsia" w:ascii="仿宋" w:hAnsi="仿宋" w:eastAsia="仿宋"/>
          <w:color w:val="333333"/>
          <w:sz w:val="32"/>
          <w:szCs w:val="32"/>
        </w:rPr>
        <w:t>（一）重视绩效管理工作。要高度重视预算绩效管理工作，认真学习全过程预算绩效管理知识，将其与部门项目和具体工作结合起来。财务人员要强化牵头作用，加强统筹协调，业务科室要积极配合财务部门工作，提供绩效管理的各项资料，形成预算绩效管理的合力。</w:t>
      </w:r>
    </w:p>
    <w:p>
      <w:pPr>
        <w:pStyle w:val="5"/>
        <w:spacing w:before="0" w:beforeAutospacing="0" w:after="0" w:afterAutospacing="0"/>
        <w:ind w:firstLine="480"/>
        <w:rPr>
          <w:rFonts w:ascii="仿宋" w:hAnsi="仿宋" w:eastAsia="仿宋"/>
          <w:color w:val="333333"/>
          <w:sz w:val="32"/>
          <w:szCs w:val="32"/>
        </w:rPr>
      </w:pPr>
      <w:r>
        <w:rPr>
          <w:rFonts w:hint="eastAsia" w:ascii="仿宋" w:hAnsi="仿宋" w:eastAsia="仿宋"/>
          <w:color w:val="333333"/>
          <w:sz w:val="32"/>
          <w:szCs w:val="32"/>
        </w:rPr>
        <w:t>（二）规范绩效目标编制。绩效目标是做好绩效评价等各项预算绩效管理的工作基础。各部门编制预算时要紧紧围绕区委、区政府各项决策部署，分解细化各项工作要求，科学设置绩效目标和相关指标，加强绩效目标审核，提升绩效目标编制质量。建议各部门根据行业特点统一设置绩效目标模板和个性化绩效指标库，规范绩效目标编制。</w:t>
      </w:r>
    </w:p>
    <w:p>
      <w:pPr>
        <w:pStyle w:val="5"/>
        <w:spacing w:before="0" w:beforeAutospacing="0" w:after="0" w:afterAutospacing="0"/>
        <w:ind w:firstLine="480"/>
        <w:rPr>
          <w:rFonts w:ascii="仿宋" w:hAnsi="仿宋" w:eastAsia="仿宋"/>
          <w:color w:val="333333"/>
          <w:sz w:val="32"/>
          <w:szCs w:val="32"/>
        </w:rPr>
      </w:pPr>
      <w:r>
        <w:rPr>
          <w:rFonts w:hint="eastAsia" w:ascii="仿宋" w:hAnsi="仿宋" w:eastAsia="仿宋"/>
          <w:color w:val="333333"/>
          <w:sz w:val="32"/>
          <w:szCs w:val="32"/>
        </w:rPr>
        <w:t>（三）加强评价结果应用。项目支出绩效评价结果将作为202</w:t>
      </w:r>
      <w:r>
        <w:rPr>
          <w:rFonts w:ascii="仿宋" w:hAnsi="仿宋" w:eastAsia="仿宋"/>
          <w:color w:val="333333"/>
          <w:sz w:val="32"/>
          <w:szCs w:val="32"/>
        </w:rPr>
        <w:t>2</w:t>
      </w:r>
      <w:r>
        <w:rPr>
          <w:rFonts w:hint="eastAsia" w:ascii="仿宋" w:hAnsi="仿宋" w:eastAsia="仿宋"/>
          <w:color w:val="333333"/>
          <w:sz w:val="32"/>
          <w:szCs w:val="32"/>
        </w:rPr>
        <w:t>年度部门预算安排的重要参考。对照20</w:t>
      </w:r>
      <w:r>
        <w:rPr>
          <w:rFonts w:ascii="仿宋" w:hAnsi="仿宋" w:eastAsia="仿宋"/>
          <w:color w:val="333333"/>
          <w:sz w:val="32"/>
          <w:szCs w:val="32"/>
        </w:rPr>
        <w:t>21</w:t>
      </w:r>
      <w:r>
        <w:rPr>
          <w:rFonts w:hint="eastAsia" w:ascii="仿宋" w:hAnsi="仿宋" w:eastAsia="仿宋"/>
          <w:color w:val="333333"/>
          <w:sz w:val="32"/>
          <w:szCs w:val="32"/>
        </w:rPr>
        <w:t>年绩效评价中发现的问题认真总结，积极整改，并举一反三抓好202</w:t>
      </w:r>
      <w:r>
        <w:rPr>
          <w:rFonts w:ascii="仿宋" w:hAnsi="仿宋" w:eastAsia="仿宋"/>
          <w:color w:val="333333"/>
          <w:sz w:val="32"/>
          <w:szCs w:val="32"/>
        </w:rPr>
        <w:t>2</w:t>
      </w:r>
      <w:r>
        <w:rPr>
          <w:rFonts w:hint="eastAsia" w:ascii="仿宋" w:hAnsi="仿宋" w:eastAsia="仿宋"/>
          <w:color w:val="333333"/>
          <w:sz w:val="32"/>
          <w:szCs w:val="32"/>
        </w:rPr>
        <w:t>年绩效评价和预算绩效目标编报工作。</w:t>
      </w:r>
    </w:p>
    <w:p>
      <w:pPr>
        <w:spacing w:line="600" w:lineRule="exact"/>
        <w:ind w:firstLine="640" w:firstLineChars="200"/>
        <w:rPr>
          <w:rFonts w:ascii="楷体" w:hAnsi="楷体" w:eastAsia="楷体" w:cs="黑体"/>
          <w:bCs/>
          <w:color w:val="000000"/>
          <w:sz w:val="32"/>
          <w:szCs w:val="32"/>
        </w:rPr>
      </w:pPr>
      <w:r>
        <w:rPr>
          <w:rFonts w:hint="eastAsia" w:ascii="楷体" w:hAnsi="楷体" w:eastAsia="楷体" w:cs="黑体"/>
          <w:bCs/>
          <w:color w:val="000000"/>
          <w:sz w:val="32"/>
          <w:szCs w:val="32"/>
        </w:rPr>
        <w:t>八、其他需要说明的问题</w:t>
      </w:r>
    </w:p>
    <w:p>
      <w:pPr>
        <w:ind w:firstLine="640" w:firstLineChars="200"/>
        <w:rPr>
          <w:rFonts w:ascii="仿宋" w:hAnsi="仿宋" w:eastAsia="仿宋"/>
          <w:sz w:val="32"/>
          <w:szCs w:val="32"/>
        </w:rPr>
      </w:pPr>
      <w:r>
        <w:rPr>
          <w:rFonts w:hint="eastAsia" w:ascii="仿宋" w:hAnsi="仿宋" w:eastAsia="仿宋"/>
          <w:sz w:val="32"/>
          <w:szCs w:val="32"/>
        </w:rPr>
        <w:t>无。</w:t>
      </w:r>
    </w:p>
    <w:p>
      <w:pPr>
        <w:ind w:firstLine="640" w:firstLineChars="200"/>
        <w:rPr>
          <w:rFonts w:ascii="仿宋_GB2312" w:eastAsia="仿宋_GB2312"/>
          <w:sz w:val="32"/>
          <w:szCs w:val="32"/>
        </w:rPr>
      </w:pPr>
    </w:p>
    <w:p>
      <w:pPr>
        <w:ind w:firstLine="640" w:firstLineChars="200"/>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DRmNzhiYzRhZmJlMWYxYzg0MTJiNzk2NDQyMzM4N2IifQ=="/>
  </w:docVars>
  <w:rsids>
    <w:rsidRoot w:val="00260A11"/>
    <w:rsid w:val="000077FC"/>
    <w:rsid w:val="00042D94"/>
    <w:rsid w:val="00053062"/>
    <w:rsid w:val="000620DA"/>
    <w:rsid w:val="00070456"/>
    <w:rsid w:val="00094F18"/>
    <w:rsid w:val="000A009D"/>
    <w:rsid w:val="000C7D3E"/>
    <w:rsid w:val="000D3865"/>
    <w:rsid w:val="000E58C6"/>
    <w:rsid w:val="000F50B8"/>
    <w:rsid w:val="001008E6"/>
    <w:rsid w:val="00110B18"/>
    <w:rsid w:val="001454B9"/>
    <w:rsid w:val="0015648D"/>
    <w:rsid w:val="00175801"/>
    <w:rsid w:val="00187A58"/>
    <w:rsid w:val="001A06FE"/>
    <w:rsid w:val="001D208C"/>
    <w:rsid w:val="001E79B4"/>
    <w:rsid w:val="001F164A"/>
    <w:rsid w:val="001F5216"/>
    <w:rsid w:val="001F5B15"/>
    <w:rsid w:val="00204813"/>
    <w:rsid w:val="002250BD"/>
    <w:rsid w:val="00244CE3"/>
    <w:rsid w:val="00255885"/>
    <w:rsid w:val="00260A11"/>
    <w:rsid w:val="00274548"/>
    <w:rsid w:val="00292633"/>
    <w:rsid w:val="00296E80"/>
    <w:rsid w:val="002C0F74"/>
    <w:rsid w:val="002D3DF8"/>
    <w:rsid w:val="002F42E6"/>
    <w:rsid w:val="00305F3B"/>
    <w:rsid w:val="00324E62"/>
    <w:rsid w:val="00326EA2"/>
    <w:rsid w:val="003447BC"/>
    <w:rsid w:val="00354350"/>
    <w:rsid w:val="003733E4"/>
    <w:rsid w:val="00376263"/>
    <w:rsid w:val="00376F34"/>
    <w:rsid w:val="003835C3"/>
    <w:rsid w:val="0038493E"/>
    <w:rsid w:val="003A4383"/>
    <w:rsid w:val="003E2BCF"/>
    <w:rsid w:val="003E5004"/>
    <w:rsid w:val="003E5EF9"/>
    <w:rsid w:val="0041370D"/>
    <w:rsid w:val="00435507"/>
    <w:rsid w:val="0045031D"/>
    <w:rsid w:val="00481FCB"/>
    <w:rsid w:val="00486C5E"/>
    <w:rsid w:val="0049344B"/>
    <w:rsid w:val="004A1CAB"/>
    <w:rsid w:val="004C16CE"/>
    <w:rsid w:val="004D0B5E"/>
    <w:rsid w:val="004F70C0"/>
    <w:rsid w:val="00502F93"/>
    <w:rsid w:val="00504EEF"/>
    <w:rsid w:val="005078FC"/>
    <w:rsid w:val="005275CF"/>
    <w:rsid w:val="005359A9"/>
    <w:rsid w:val="00541313"/>
    <w:rsid w:val="00553E69"/>
    <w:rsid w:val="00565BC2"/>
    <w:rsid w:val="00575291"/>
    <w:rsid w:val="0059319E"/>
    <w:rsid w:val="00597D1E"/>
    <w:rsid w:val="005A2169"/>
    <w:rsid w:val="005B3488"/>
    <w:rsid w:val="005D6FF0"/>
    <w:rsid w:val="005E4DF6"/>
    <w:rsid w:val="005F7E8F"/>
    <w:rsid w:val="00603051"/>
    <w:rsid w:val="00612E03"/>
    <w:rsid w:val="00613251"/>
    <w:rsid w:val="00616025"/>
    <w:rsid w:val="00620CBD"/>
    <w:rsid w:val="0062356A"/>
    <w:rsid w:val="00627F97"/>
    <w:rsid w:val="006341B4"/>
    <w:rsid w:val="00670FA1"/>
    <w:rsid w:val="006815BD"/>
    <w:rsid w:val="00682106"/>
    <w:rsid w:val="006909C9"/>
    <w:rsid w:val="006A1D41"/>
    <w:rsid w:val="006C64FD"/>
    <w:rsid w:val="006D06A6"/>
    <w:rsid w:val="006D1CDE"/>
    <w:rsid w:val="006E1885"/>
    <w:rsid w:val="006E2194"/>
    <w:rsid w:val="006E5796"/>
    <w:rsid w:val="007038BD"/>
    <w:rsid w:val="00704151"/>
    <w:rsid w:val="007103FA"/>
    <w:rsid w:val="00717F08"/>
    <w:rsid w:val="00732040"/>
    <w:rsid w:val="00744B06"/>
    <w:rsid w:val="00746F81"/>
    <w:rsid w:val="00753C39"/>
    <w:rsid w:val="00767364"/>
    <w:rsid w:val="00772383"/>
    <w:rsid w:val="007A6CFE"/>
    <w:rsid w:val="007C2682"/>
    <w:rsid w:val="007E0258"/>
    <w:rsid w:val="00813185"/>
    <w:rsid w:val="00824804"/>
    <w:rsid w:val="00836BF9"/>
    <w:rsid w:val="00841893"/>
    <w:rsid w:val="0089160F"/>
    <w:rsid w:val="008A17C0"/>
    <w:rsid w:val="008A4C05"/>
    <w:rsid w:val="008C5034"/>
    <w:rsid w:val="008C7C7F"/>
    <w:rsid w:val="008D2CC3"/>
    <w:rsid w:val="008D7FED"/>
    <w:rsid w:val="008E1908"/>
    <w:rsid w:val="00930568"/>
    <w:rsid w:val="00933EC1"/>
    <w:rsid w:val="00946A7F"/>
    <w:rsid w:val="00947532"/>
    <w:rsid w:val="00996C6D"/>
    <w:rsid w:val="009A303D"/>
    <w:rsid w:val="009B5AE9"/>
    <w:rsid w:val="009C7007"/>
    <w:rsid w:val="009E224A"/>
    <w:rsid w:val="009F7199"/>
    <w:rsid w:val="00A00450"/>
    <w:rsid w:val="00A03CE9"/>
    <w:rsid w:val="00A2029B"/>
    <w:rsid w:val="00A40BE8"/>
    <w:rsid w:val="00A4195F"/>
    <w:rsid w:val="00A43430"/>
    <w:rsid w:val="00A61D97"/>
    <w:rsid w:val="00A72E9A"/>
    <w:rsid w:val="00A74F14"/>
    <w:rsid w:val="00A970AC"/>
    <w:rsid w:val="00AB6B15"/>
    <w:rsid w:val="00AC1CF2"/>
    <w:rsid w:val="00AD181E"/>
    <w:rsid w:val="00AD3C1D"/>
    <w:rsid w:val="00AE1A2F"/>
    <w:rsid w:val="00AF56E3"/>
    <w:rsid w:val="00B03DC0"/>
    <w:rsid w:val="00B0712E"/>
    <w:rsid w:val="00B23256"/>
    <w:rsid w:val="00B47972"/>
    <w:rsid w:val="00B61B7F"/>
    <w:rsid w:val="00B67BC2"/>
    <w:rsid w:val="00B74179"/>
    <w:rsid w:val="00B81ACC"/>
    <w:rsid w:val="00B822D4"/>
    <w:rsid w:val="00B8274D"/>
    <w:rsid w:val="00BA2CC5"/>
    <w:rsid w:val="00BA5908"/>
    <w:rsid w:val="00BB063D"/>
    <w:rsid w:val="00BB2445"/>
    <w:rsid w:val="00BC4F68"/>
    <w:rsid w:val="00BE7B37"/>
    <w:rsid w:val="00BF10D1"/>
    <w:rsid w:val="00C21A2D"/>
    <w:rsid w:val="00C4272C"/>
    <w:rsid w:val="00C555DB"/>
    <w:rsid w:val="00C61EB5"/>
    <w:rsid w:val="00C77E80"/>
    <w:rsid w:val="00C84D59"/>
    <w:rsid w:val="00C85F78"/>
    <w:rsid w:val="00CA411C"/>
    <w:rsid w:val="00CA6332"/>
    <w:rsid w:val="00D215D2"/>
    <w:rsid w:val="00D350A6"/>
    <w:rsid w:val="00D362D9"/>
    <w:rsid w:val="00D63568"/>
    <w:rsid w:val="00D72040"/>
    <w:rsid w:val="00D93E1D"/>
    <w:rsid w:val="00DA681D"/>
    <w:rsid w:val="00DD4005"/>
    <w:rsid w:val="00DF292F"/>
    <w:rsid w:val="00DF7C3A"/>
    <w:rsid w:val="00E230D1"/>
    <w:rsid w:val="00E4185B"/>
    <w:rsid w:val="00E434DB"/>
    <w:rsid w:val="00E44A18"/>
    <w:rsid w:val="00E70676"/>
    <w:rsid w:val="00E75E05"/>
    <w:rsid w:val="00E8212E"/>
    <w:rsid w:val="00F26BA0"/>
    <w:rsid w:val="00F57D7F"/>
    <w:rsid w:val="00F94EB7"/>
    <w:rsid w:val="00FE6468"/>
    <w:rsid w:val="00FF66B1"/>
    <w:rsid w:val="139D70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8"/>
    <w:semiHidden/>
    <w:unhideWhenUsed/>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8">
    <w:name w:val="批注框文本 字符"/>
    <w:basedOn w:val="7"/>
    <w:link w:val="2"/>
    <w:semiHidden/>
    <w:uiPriority w:val="99"/>
    <w:rPr>
      <w:sz w:val="18"/>
      <w:szCs w:val="18"/>
    </w:rPr>
  </w:style>
  <w:style w:type="character" w:customStyle="1" w:styleId="9">
    <w:name w:val="页眉 字符"/>
    <w:basedOn w:val="7"/>
    <w:link w:val="4"/>
    <w:uiPriority w:val="99"/>
    <w:rPr>
      <w:sz w:val="18"/>
      <w:szCs w:val="18"/>
    </w:rPr>
  </w:style>
  <w:style w:type="character" w:customStyle="1" w:styleId="10">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26D99-6E8A-4128-8975-3CD9ACFFBEE2}">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5</Pages>
  <Words>2104</Words>
  <Characters>2303</Characters>
  <Lines>16</Lines>
  <Paragraphs>4</Paragraphs>
  <TotalTime>444</TotalTime>
  <ScaleCrop>false</ScaleCrop>
  <LinksUpToDate>false</LinksUpToDate>
  <CharactersWithSpaces>2303</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2021-04-08T03:04:00Z</dcterms:created>
  <dc:creator>三门峡市质量技术监督局湖滨区分局</dc:creator>
  <cp:lastModifiedBy>Administrator</cp:lastModifiedBy>
  <dcterms:modified xsi:type="dcterms:W3CDTF">2023-06-09T01:02:01Z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03C48C6034064D3EB54795E0CA739D87_12</vt:lpwstr>
  </property>
</Properties>
</file>