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default" w:ascii="Times New Roman" w:hAnsi="Times New Roman" w:eastAsia="方正大标宋简体" w:cs="Times New Roman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大标宋简体" w:cs="Times New Roman"/>
          <w:sz w:val="44"/>
          <w:szCs w:val="44"/>
          <w:highlight w:val="none"/>
        </w:rPr>
        <w:t>关于三门峡市202</w:t>
      </w:r>
      <w:r>
        <w:rPr>
          <w:rFonts w:hint="default" w:ascii="Times New Roman" w:hAnsi="Times New Roman" w:eastAsia="方正大标宋简体" w:cs="Times New Roman"/>
          <w:sz w:val="44"/>
          <w:szCs w:val="4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大标宋简体" w:cs="Times New Roman"/>
          <w:sz w:val="44"/>
          <w:szCs w:val="44"/>
          <w:highlight w:val="none"/>
        </w:rPr>
        <w:t>年财政决算和202</w:t>
      </w:r>
      <w:r>
        <w:rPr>
          <w:rFonts w:hint="default" w:ascii="Times New Roman" w:hAnsi="Times New Roman" w:eastAsia="方正大标宋简体" w:cs="Times New Roman"/>
          <w:sz w:val="44"/>
          <w:szCs w:val="4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大标宋简体" w:cs="Times New Roman"/>
          <w:sz w:val="44"/>
          <w:szCs w:val="44"/>
          <w:highlight w:val="none"/>
        </w:rPr>
        <w:t>年</w:t>
      </w:r>
    </w:p>
    <w:p>
      <w:pPr>
        <w:ind w:firstLine="0" w:firstLineChars="0"/>
        <w:jc w:val="center"/>
        <w:rPr>
          <w:rFonts w:hint="default" w:ascii="Times New Roman" w:hAnsi="Times New Roman" w:eastAsia="方正大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highlight w:val="none"/>
        </w:rPr>
        <w:t>1—6月份财政预算执行情况的报告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highlight w:val="none"/>
        </w:rPr>
      </w:pPr>
      <w:r>
        <w:rPr>
          <w:rFonts w:hint="default" w:ascii="Times New Roman" w:hAnsi="Times New Roman" w:eastAsia="楷体_GB2312" w:cs="Times New Roman"/>
          <w:highlight w:val="none"/>
        </w:rPr>
        <w:t>——在市</w:t>
      </w:r>
      <w:r>
        <w:rPr>
          <w:rFonts w:hint="default" w:ascii="Times New Roman" w:hAnsi="Times New Roman" w:eastAsia="楷体_GB2312" w:cs="Times New Roman"/>
          <w:highlight w:val="none"/>
          <w:lang w:eastAsia="zh-CN"/>
        </w:rPr>
        <w:t>八</w:t>
      </w:r>
      <w:r>
        <w:rPr>
          <w:rFonts w:hint="default" w:ascii="Times New Roman" w:hAnsi="Times New Roman" w:eastAsia="楷体_GB2312" w:cs="Times New Roman"/>
          <w:highlight w:val="none"/>
        </w:rPr>
        <w:t>届人大常委会第</w:t>
      </w:r>
      <w:r>
        <w:rPr>
          <w:rFonts w:hint="default" w:ascii="Times New Roman" w:hAnsi="Times New Roman" w:eastAsia="楷体_GB2312" w:cs="Times New Roman"/>
          <w:highlight w:val="none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highlight w:val="none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highlight w:val="none"/>
        </w:rPr>
      </w:pPr>
      <w:r>
        <w:rPr>
          <w:rFonts w:hint="default" w:ascii="Times New Roman" w:hAnsi="Times New Roman" w:eastAsia="楷体_GB2312" w:cs="Times New Roman"/>
          <w:highlight w:val="none"/>
        </w:rPr>
        <w:t>市财政局局长   翟海燕</w:t>
      </w:r>
    </w:p>
    <w:p>
      <w:pPr>
        <w:spacing w:line="560" w:lineRule="exact"/>
        <w:ind w:firstLine="0" w:firstLineChars="0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0" w:firstLineChars="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主任、各位副主任、秘书长、各位委员：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我受市人民政府委托，向市人大常委会报告202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highlight w:val="none"/>
        </w:rPr>
        <w:t>年财政决算和202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highlight w:val="none"/>
        </w:rPr>
        <w:t>年1—6月份财政预算执行情况，请予审查。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/>
        <w:textAlignment w:val="auto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一、2022年财政决算情况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楷体_GB2312" w:cs="Times New Roman"/>
          <w:b/>
          <w:highlight w:val="none"/>
        </w:rPr>
        <w:t>（一）一般公共预算。</w:t>
      </w:r>
      <w:r>
        <w:rPr>
          <w:rFonts w:hint="default" w:ascii="Times New Roman" w:hAnsi="Times New Roman" w:cs="Times New Roman"/>
          <w:highlight w:val="none"/>
        </w:rPr>
        <w:t>全市一般公共预算收入完成1390355万元，为调整预算的95.6%，同口径增长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0.2</w:t>
      </w:r>
      <w:r>
        <w:rPr>
          <w:rFonts w:hint="default" w:ascii="Times New Roman" w:hAnsi="Times New Roman" w:cs="Times New Roman"/>
          <w:highlight w:val="none"/>
        </w:rPr>
        <w:t>%，自然口径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下降2.4</w:t>
      </w:r>
      <w:r>
        <w:rPr>
          <w:rFonts w:hint="default" w:ascii="Times New Roman" w:hAnsi="Times New Roman" w:cs="Times New Roman"/>
          <w:highlight w:val="none"/>
        </w:rPr>
        <w:t>%</w:t>
      </w:r>
      <w:r>
        <w:rPr>
          <w:rFonts w:hint="default" w:ascii="Times New Roman" w:hAnsi="Times New Roman" w:cs="Times New Roman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主要是增值税留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抵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退税因素影响</w:t>
      </w:r>
      <w:r>
        <w:rPr>
          <w:rFonts w:hint="default" w:ascii="Times New Roman" w:hAnsi="Times New Roman" w:cs="Times New Roman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highlight w:val="none"/>
        </w:rPr>
        <w:t>加上上级补助、一般债券等收入，总计3626658万元；支出完成2759034万元，为调整预算的93.5%，增长10.1%</w:t>
      </w:r>
      <w:r>
        <w:rPr>
          <w:rFonts w:hint="default" w:ascii="Times New Roman" w:hAnsi="Times New Roman" w:cs="Times New Roman"/>
          <w:bCs/>
          <w:highlight w:val="none"/>
        </w:rPr>
        <w:t>，</w:t>
      </w:r>
      <w:r>
        <w:rPr>
          <w:rFonts w:hint="default" w:ascii="Times New Roman" w:hAnsi="Times New Roman" w:cs="Times New Roman"/>
          <w:highlight w:val="none"/>
        </w:rPr>
        <w:t>加上上解上级等支出，总计3434994万元。收支相抵，年终结余191664万元</w:t>
      </w:r>
      <w:r>
        <w:rPr>
          <w:rFonts w:hint="default" w:ascii="Times New Roman" w:hAnsi="Times New Roman" w:cs="Times New Roman"/>
          <w:highlight w:val="none"/>
          <w:lang w:eastAsia="zh-CN"/>
        </w:rPr>
        <w:t>，主要是上级转移支付，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全部结转下年使用</w:t>
      </w:r>
      <w:r>
        <w:rPr>
          <w:rFonts w:hint="default" w:ascii="Times New Roman" w:hAnsi="Times New Roman" w:cs="Times New Roman"/>
          <w:highlight w:val="none"/>
        </w:rPr>
        <w:t>。市级一般公共预算收入完成178426万元，为预算的103.1%，同口径增长9.2%，自然口径增长4.9%，加上上级补助、一般债券等收入，总计977241万元；支出完成744605万元，为调整预算的99.5%，增长37.2%</w:t>
      </w:r>
      <w:r>
        <w:rPr>
          <w:rFonts w:hint="default" w:ascii="Times New Roman" w:hAnsi="Times New Roman" w:cs="Times New Roman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主要支持科技创新、交通运输、卫生健康等</w:t>
      </w:r>
      <w:r>
        <w:rPr>
          <w:rFonts w:hint="default" w:ascii="Times New Roman" w:hAnsi="Times New Roman" w:cs="Times New Roman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highlight w:val="none"/>
        </w:rPr>
        <w:t>，加上上解上级等支出，总计973441万元。收支相抵，年终结余3800万元</w:t>
      </w:r>
      <w:r>
        <w:rPr>
          <w:rFonts w:hint="default" w:ascii="Times New Roman" w:hAnsi="Times New Roman" w:cs="Times New Roman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全部结转下年使用</w:t>
      </w:r>
      <w:r>
        <w:rPr>
          <w:rFonts w:hint="default" w:ascii="Times New Roman" w:hAnsi="Times New Roman" w:cs="Times New Roman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bCs/>
          <w:highlight w:val="none"/>
        </w:rPr>
      </w:pPr>
      <w:r>
        <w:rPr>
          <w:rFonts w:hint="default" w:ascii="Times New Roman" w:hAnsi="Times New Roman" w:eastAsia="楷体_GB2312" w:cs="Times New Roman"/>
          <w:b/>
          <w:highlight w:val="none"/>
        </w:rPr>
        <w:t>（二）政府性基金预算。</w:t>
      </w:r>
      <w:r>
        <w:rPr>
          <w:rFonts w:hint="default" w:ascii="Times New Roman" w:hAnsi="Times New Roman" w:cs="Times New Roman"/>
          <w:highlight w:val="none"/>
        </w:rPr>
        <w:t>全</w:t>
      </w:r>
      <w:r>
        <w:rPr>
          <w:rFonts w:hint="default" w:ascii="Times New Roman" w:hAnsi="Times New Roman" w:cs="Times New Roman"/>
          <w:bCs/>
          <w:highlight w:val="none"/>
        </w:rPr>
        <w:t>市政府性基金预算收入完成436953万元，为预算的92.1%，下降35.5%</w:t>
      </w:r>
      <w:r>
        <w:rPr>
          <w:rFonts w:hint="default" w:ascii="Times New Roman" w:hAnsi="Times New Roman" w:cs="Times New Roman"/>
          <w:bCs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Cs/>
          <w:highlight w:val="none"/>
        </w:rPr>
        <w:t>主要是国有土地使用权出让收入减收较多</w:t>
      </w:r>
      <w:r>
        <w:rPr>
          <w:rFonts w:hint="default" w:ascii="Times New Roman" w:hAnsi="Times New Roman" w:cs="Times New Roman"/>
          <w:bCs/>
          <w:highlight w:val="none"/>
          <w:lang w:eastAsia="zh-CN"/>
        </w:rPr>
        <w:t>，下同）</w:t>
      </w:r>
      <w:r>
        <w:rPr>
          <w:rFonts w:hint="default" w:ascii="Times New Roman" w:hAnsi="Times New Roman" w:cs="Times New Roman"/>
          <w:bCs/>
          <w:highlight w:val="none"/>
        </w:rPr>
        <w:t>，加上上级补助、专项债券等收入，总计1457692万元；支出完成639090万元，为调整预算的57.2%，下降13.3%</w:t>
      </w:r>
      <w:r>
        <w:rPr>
          <w:rFonts w:hint="default" w:ascii="Times New Roman" w:hAnsi="Times New Roman" w:cs="Times New Roman"/>
          <w:bCs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Cs/>
          <w:highlight w:val="none"/>
          <w:lang w:val="en-US" w:eastAsia="zh-CN"/>
        </w:rPr>
        <w:t>主要是国有土地支出下降较多，下同</w:t>
      </w:r>
      <w:r>
        <w:rPr>
          <w:rFonts w:hint="default" w:ascii="Times New Roman" w:hAnsi="Times New Roman" w:cs="Times New Roman"/>
          <w:bCs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Cs/>
          <w:highlight w:val="none"/>
        </w:rPr>
        <w:t>，加上调出资金等支出，总计978711万元。收支相抵，年终结余478981万元</w:t>
      </w:r>
      <w:r>
        <w:rPr>
          <w:rFonts w:hint="default" w:ascii="Times New Roman" w:hAnsi="Times New Roman" w:cs="Times New Roman"/>
          <w:bCs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bCs/>
          <w:highlight w:val="none"/>
          <w:lang w:val="en-US" w:eastAsia="zh-CN"/>
        </w:rPr>
        <w:t>全部结转下年使用</w:t>
      </w:r>
      <w:r>
        <w:rPr>
          <w:rFonts w:hint="default" w:ascii="Times New Roman" w:hAnsi="Times New Roman" w:cs="Times New Roman"/>
          <w:bCs/>
          <w:highlight w:val="none"/>
        </w:rPr>
        <w:t>。市级政府性基金预算收入完成212126万元，为预算的98.4%，下降2</w:t>
      </w:r>
      <w:r>
        <w:rPr>
          <w:rFonts w:hint="default" w:ascii="Times New Roman" w:hAnsi="Times New Roman" w:cs="Times New Roman"/>
          <w:bCs/>
          <w:highlight w:val="none"/>
          <w:lang w:val="en-US" w:eastAsia="zh-CN"/>
        </w:rPr>
        <w:t>7.9</w:t>
      </w:r>
      <w:r>
        <w:rPr>
          <w:rFonts w:hint="default" w:ascii="Times New Roman" w:hAnsi="Times New Roman" w:cs="Times New Roman"/>
          <w:bCs/>
          <w:highlight w:val="none"/>
        </w:rPr>
        <w:t>%，加上上级补助、专项债券等收入，总计325511万元；支出完成56104万元，为调整预算的37.6%，下降</w:t>
      </w:r>
      <w:r>
        <w:rPr>
          <w:rFonts w:hint="default" w:ascii="Times New Roman" w:hAnsi="Times New Roman" w:cs="Times New Roman"/>
          <w:bCs/>
          <w:highlight w:val="none"/>
          <w:lang w:val="en-US" w:eastAsia="zh-CN"/>
        </w:rPr>
        <w:t>48.2</w:t>
      </w:r>
      <w:r>
        <w:rPr>
          <w:rFonts w:hint="default" w:ascii="Times New Roman" w:hAnsi="Times New Roman" w:cs="Times New Roman"/>
          <w:bCs/>
          <w:highlight w:val="none"/>
        </w:rPr>
        <w:t>%，加上调出资金等支出，总计232334万元。收支相抵，年终结余93177万元</w:t>
      </w:r>
      <w:r>
        <w:rPr>
          <w:rFonts w:hint="default" w:ascii="Times New Roman" w:hAnsi="Times New Roman" w:cs="Times New Roman"/>
          <w:bCs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bCs/>
          <w:highlight w:val="none"/>
          <w:lang w:val="en-US" w:eastAsia="zh-CN"/>
        </w:rPr>
        <w:t>全部为专项债券，结转下年使用</w:t>
      </w:r>
      <w:r>
        <w:rPr>
          <w:rFonts w:hint="default" w:ascii="Times New Roman" w:hAnsi="Times New Roman" w:cs="Times New Roman"/>
          <w:bCs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bCs/>
          <w:highlight w:val="none"/>
        </w:rPr>
      </w:pPr>
      <w:r>
        <w:rPr>
          <w:rFonts w:hint="default" w:ascii="Times New Roman" w:hAnsi="Times New Roman" w:eastAsia="楷体_GB2312" w:cs="Times New Roman"/>
          <w:b/>
          <w:highlight w:val="none"/>
        </w:rPr>
        <w:t>（三）国有资本经营预算。</w:t>
      </w:r>
      <w:r>
        <w:rPr>
          <w:rFonts w:hint="default" w:ascii="Times New Roman" w:hAnsi="Times New Roman" w:cs="Times New Roman"/>
          <w:bCs/>
          <w:highlight w:val="none"/>
        </w:rPr>
        <w:t>全市国有资本经营预算收入完成51257万元，为调整预算的94.9%，</w:t>
      </w:r>
      <w:r>
        <w:rPr>
          <w:rFonts w:hint="default" w:ascii="Times New Roman" w:hAnsi="Times New Roman" w:cs="Times New Roman"/>
          <w:bCs/>
          <w:highlight w:val="none"/>
          <w:lang w:val="en-US" w:eastAsia="zh-CN"/>
        </w:rPr>
        <w:t>增长388.2%（主要是国有资本经营预算企业产权转让收入增加较多），</w:t>
      </w:r>
      <w:r>
        <w:rPr>
          <w:rFonts w:hint="default" w:ascii="Times New Roman" w:hAnsi="Times New Roman" w:cs="Times New Roman"/>
          <w:bCs/>
          <w:highlight w:val="none"/>
        </w:rPr>
        <w:t>加上上级补助等收入，总计53270万元；支出完成7904万元，为调整预算的89.5%，</w:t>
      </w:r>
      <w:r>
        <w:rPr>
          <w:rFonts w:hint="default" w:ascii="Times New Roman" w:hAnsi="Times New Roman" w:cs="Times New Roman"/>
          <w:bCs/>
          <w:highlight w:val="none"/>
          <w:lang w:val="en-US" w:eastAsia="zh-CN"/>
        </w:rPr>
        <w:t>下降21.6%（主要是国有企业政策性补贴支出下降较多），</w:t>
      </w:r>
      <w:r>
        <w:rPr>
          <w:rFonts w:hint="default" w:ascii="Times New Roman" w:hAnsi="Times New Roman" w:cs="Times New Roman"/>
          <w:bCs/>
          <w:highlight w:val="none"/>
        </w:rPr>
        <w:t>加上调出资金</w:t>
      </w:r>
      <w:r>
        <w:rPr>
          <w:rFonts w:hint="default" w:ascii="Times New Roman" w:hAnsi="Times New Roman" w:cs="Times New Roman"/>
          <w:bCs/>
          <w:highlight w:val="none"/>
          <w:lang w:val="en-US" w:eastAsia="zh-CN"/>
        </w:rPr>
        <w:t>等</w:t>
      </w:r>
      <w:r>
        <w:rPr>
          <w:rFonts w:hint="default" w:ascii="Times New Roman" w:hAnsi="Times New Roman" w:cs="Times New Roman"/>
          <w:bCs/>
          <w:highlight w:val="none"/>
        </w:rPr>
        <w:t>，支出总计52342万元</w:t>
      </w:r>
      <w:r>
        <w:rPr>
          <w:rFonts w:hint="default" w:ascii="Times New Roman" w:hAnsi="Times New Roman" w:cs="Times New Roman"/>
          <w:bCs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bCs/>
          <w:highlight w:val="none"/>
        </w:rPr>
        <w:t>收支相抵，年终结余928万元</w:t>
      </w:r>
      <w:r>
        <w:rPr>
          <w:rFonts w:hint="default" w:ascii="Times New Roman" w:hAnsi="Times New Roman" w:cs="Times New Roman"/>
          <w:bCs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bCs/>
          <w:highlight w:val="none"/>
          <w:lang w:val="en-US" w:eastAsia="zh-CN"/>
        </w:rPr>
        <w:t>全部结转下年使用</w:t>
      </w:r>
      <w:r>
        <w:rPr>
          <w:rFonts w:hint="default" w:ascii="Times New Roman" w:hAnsi="Times New Roman" w:cs="Times New Roman"/>
          <w:bCs/>
          <w:highlight w:val="none"/>
        </w:rPr>
        <w:t>。市级国有资本经营预算收入完成1225万元，</w:t>
      </w:r>
      <w:r>
        <w:rPr>
          <w:rFonts w:hint="default" w:ascii="Times New Roman" w:hAnsi="Times New Roman" w:cs="Times New Roman"/>
          <w:bCs/>
          <w:highlight w:val="none"/>
          <w:lang w:val="en-US" w:eastAsia="zh-CN"/>
        </w:rPr>
        <w:t>为调整预算的30.4%，增长145%（主要是国有资本经营企业股利、股息增加较多），</w:t>
      </w:r>
      <w:r>
        <w:rPr>
          <w:rFonts w:hint="default" w:ascii="Times New Roman" w:hAnsi="Times New Roman" w:cs="Times New Roman"/>
          <w:bCs/>
          <w:highlight w:val="none"/>
        </w:rPr>
        <w:t>加上上级补助等收入，总计1286万元；支出完成15万元，加上调出资金</w:t>
      </w:r>
      <w:r>
        <w:rPr>
          <w:rFonts w:hint="default" w:ascii="Times New Roman" w:hAnsi="Times New Roman" w:cs="Times New Roman"/>
          <w:bCs/>
          <w:highlight w:val="none"/>
          <w:lang w:val="en-US" w:eastAsia="zh-CN"/>
        </w:rPr>
        <w:t>等</w:t>
      </w:r>
      <w:r>
        <w:rPr>
          <w:rFonts w:hint="default" w:ascii="Times New Roman" w:hAnsi="Times New Roman" w:cs="Times New Roman"/>
          <w:bCs/>
          <w:highlight w:val="none"/>
        </w:rPr>
        <w:t>，支出总计1240万元。收支相抵，年终结余46万元</w:t>
      </w:r>
      <w:r>
        <w:rPr>
          <w:rFonts w:hint="default" w:ascii="Times New Roman" w:hAnsi="Times New Roman" w:cs="Times New Roman"/>
          <w:bCs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bCs/>
          <w:highlight w:val="none"/>
          <w:lang w:val="en-US" w:eastAsia="zh-CN"/>
        </w:rPr>
        <w:t>全部结转下年使用</w:t>
      </w:r>
      <w:r>
        <w:rPr>
          <w:rFonts w:hint="default" w:ascii="Times New Roman" w:hAnsi="Times New Roman" w:cs="Times New Roman"/>
          <w:bCs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（四）社会保险基金预算。</w:t>
      </w:r>
      <w:r>
        <w:rPr>
          <w:rFonts w:hint="default" w:ascii="Times New Roman" w:hAnsi="Times New Roman" w:cs="Times New Roman"/>
          <w:highlight w:val="none"/>
          <w:u w:val="none"/>
        </w:rPr>
        <w:t>全</w:t>
      </w:r>
      <w:r>
        <w:rPr>
          <w:rFonts w:hint="default" w:ascii="Times New Roman" w:hAnsi="Times New Roman" w:cs="Times New Roman"/>
          <w:highlight w:val="none"/>
          <w:u w:val="none"/>
          <w:lang w:eastAsia="zh-CN"/>
        </w:rPr>
        <w:t>市</w:t>
      </w:r>
      <w:r>
        <w:rPr>
          <w:rFonts w:hint="default" w:ascii="Times New Roman" w:hAnsi="Times New Roman" w:cs="Times New Roman"/>
          <w:highlight w:val="none"/>
          <w:u w:val="none"/>
        </w:rPr>
        <w:t>社会保险基金预算</w:t>
      </w:r>
      <w:r>
        <w:rPr>
          <w:rFonts w:hint="default" w:ascii="Times New Roman" w:hAnsi="Times New Roman" w:cs="Times New Roman"/>
          <w:b w:val="0"/>
          <w:bCs w:val="0"/>
          <w:highlight w:val="none"/>
          <w:u w:val="none"/>
        </w:rPr>
        <w:t>收入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完成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591208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为预算的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97.5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增长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lang w:val="en-US" w:eastAsia="zh-CN"/>
        </w:rPr>
        <w:t>3.1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完成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591667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为预算的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106.4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增长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lang w:val="en-US" w:eastAsia="zh-CN"/>
        </w:rPr>
        <w:t>13.3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%。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收支相抵，当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年结余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-45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年末滚存结余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lang w:val="en-US" w:eastAsia="zh-CN"/>
        </w:rPr>
        <w:t>464410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万元。市本级社会保险基金预算收入完成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52797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为预算的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98.2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增长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4.3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支出完成545412万元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为预算的10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7.2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增长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"/>
        </w:rPr>
        <w:t>。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收支相抵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"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当年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结余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-1744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年末滚存结余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287909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bCs/>
          <w:highlight w:val="none"/>
        </w:rPr>
      </w:pPr>
      <w:r>
        <w:rPr>
          <w:rFonts w:hint="default" w:ascii="Times New Roman" w:hAnsi="Times New Roman" w:eastAsia="楷体_GB2312" w:cs="Times New Roman"/>
          <w:b/>
          <w:highlight w:val="none"/>
        </w:rPr>
        <w:t>（五）税收返还和转移支付。</w:t>
      </w:r>
      <w:r>
        <w:rPr>
          <w:rFonts w:hint="default" w:ascii="Times New Roman" w:hAnsi="Times New Roman" w:cs="Times New Roman"/>
          <w:bCs/>
          <w:highlight w:val="none"/>
        </w:rPr>
        <w:t>2022年，省对我市一般公共预算税收返还和转移支付合计1317870万元，其中：税收返还58441万元，一般性转移支付1043532万元，专项转移支付215897万元；</w:t>
      </w:r>
      <w:r>
        <w:rPr>
          <w:rFonts w:hint="default" w:ascii="Times New Roman" w:hAnsi="Times New Roman" w:cs="Times New Roman"/>
          <w:bCs/>
          <w:color w:val="auto"/>
          <w:highlight w:val="none"/>
        </w:rPr>
        <w:t>市对县（市、区）</w:t>
      </w:r>
      <w:r>
        <w:rPr>
          <w:rFonts w:hint="default" w:ascii="Times New Roman" w:hAnsi="Times New Roman" w:cs="Times New Roman"/>
          <w:bCs/>
          <w:highlight w:val="none"/>
        </w:rPr>
        <w:t>一般公共预算税收返还和转移支付补助合计952120万元，其中：税收返还44398万元，一般性转移支付716760万元，专项转移支付190962万元。省对我市政府性基金转移支付54933万元；</w:t>
      </w:r>
      <w:r>
        <w:rPr>
          <w:rFonts w:hint="default" w:ascii="Times New Roman" w:hAnsi="Times New Roman" w:cs="Times New Roman"/>
          <w:bCs/>
          <w:color w:val="auto"/>
          <w:highlight w:val="none"/>
        </w:rPr>
        <w:t>市对县（市、区）</w:t>
      </w:r>
      <w:r>
        <w:rPr>
          <w:rFonts w:hint="default" w:ascii="Times New Roman" w:hAnsi="Times New Roman" w:cs="Times New Roman"/>
          <w:bCs/>
          <w:highlight w:val="none"/>
        </w:rPr>
        <w:t>政府性基金转移支付102428万元。省对我市国有资本经营预算转移支付850万元；</w:t>
      </w:r>
      <w:r>
        <w:rPr>
          <w:rFonts w:hint="default" w:ascii="Times New Roman" w:hAnsi="Times New Roman" w:cs="Times New Roman"/>
          <w:bCs/>
          <w:color w:val="auto"/>
          <w:highlight w:val="none"/>
        </w:rPr>
        <w:t>市对县（市、区）</w:t>
      </w:r>
      <w:r>
        <w:rPr>
          <w:rFonts w:hint="default" w:ascii="Times New Roman" w:hAnsi="Times New Roman" w:cs="Times New Roman"/>
          <w:bCs/>
          <w:highlight w:val="none"/>
        </w:rPr>
        <w:t>国有资本经营预算转移支付804万元。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highlight w:val="none"/>
          <w:u w:val="single"/>
        </w:rPr>
      </w:pPr>
      <w:r>
        <w:rPr>
          <w:rFonts w:hint="default" w:ascii="Times New Roman" w:hAnsi="Times New Roman" w:eastAsia="楷体_GB2312" w:cs="Times New Roman"/>
          <w:b/>
          <w:color w:val="auto"/>
          <w:highlight w:val="none"/>
        </w:rPr>
        <w:t>（六）地方政府债务。</w:t>
      </w:r>
      <w:r>
        <w:rPr>
          <w:rFonts w:hint="default" w:ascii="Times New Roman" w:hAnsi="Times New Roman" w:cs="Times New Roman"/>
          <w:bCs/>
          <w:color w:val="auto"/>
          <w:highlight w:val="none"/>
        </w:rPr>
        <w:t>省</w:t>
      </w:r>
      <w:r>
        <w:rPr>
          <w:rFonts w:hint="default" w:ascii="Times New Roman" w:hAnsi="Times New Roman" w:cs="Times New Roman"/>
          <w:color w:val="auto"/>
          <w:highlight w:val="none"/>
        </w:rPr>
        <w:t>财政厅核定我市2022年政府债务限额3455090万元，经市人大常委会批准，其中：市级政府债务限额1048215万元，县（市、区）政府债务限额2406875万元。截至2022年底，全市政府债务余额3260778万元，其中：市级政府债务余额966188万元，县（市、区）政府债务余额2294590万元，全市政府债务余额低于财政厅核定的限额，政府债务风险总体可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3"/>
        <w:textAlignment w:val="auto"/>
        <w:rPr>
          <w:rFonts w:hint="default" w:ascii="Times New Roman" w:hAnsi="Times New Roman" w:eastAsia="楷体_GB2312" w:cs="Times New Roman"/>
          <w:b/>
          <w:highlight w:val="none"/>
        </w:rPr>
      </w:pPr>
      <w:r>
        <w:rPr>
          <w:rFonts w:hint="default" w:ascii="Times New Roman" w:hAnsi="Times New Roman" w:eastAsia="楷体_GB2312" w:cs="Times New Roman"/>
          <w:b/>
          <w:highlight w:val="none"/>
        </w:rPr>
        <w:t>全市和市级决算详细情况已在决算草案中说明。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二、</w:t>
      </w:r>
      <w:r>
        <w:rPr>
          <w:rFonts w:hint="default" w:ascii="Times New Roman" w:hAnsi="Times New Roman" w:eastAsia="黑体" w:cs="Times New Roman"/>
          <w:color w:val="auto"/>
          <w:highlight w:val="none"/>
          <w:lang w:eastAsia="zh-CN"/>
        </w:rPr>
        <w:t>落实积极的财政政策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，支持和服务统筹推进疫情防控和经济社会发展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2022年，面对错综复杂的内外部环境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和各类风险挑战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，财政部门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坚决贯彻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“疫情要防住、经济要稳住、发展要安全”的重大要求，认真落实市人大有关决议要求和批复的预算，综合运用财政资金和政策工具，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高效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统筹推进疫情防控和经济社会发展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，有力支撑全市经济总体回稳向好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eastAsia="zh-CN"/>
        </w:rPr>
        <w:t>坚持稳字当头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，着力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稳住经济大盘。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扩围加力提速落实组合式税费支持政策，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全年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累计“退减缓”427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000万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元。发放创业担保贷款贴息、规上工业企业满负荷生产奖励、工业企业提质升级奖励等4284万元，提高政府采购中小企业预留份额，提振市场主体信心。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在财政极端困难情况下，筹措资金139167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元支持疫情防控，筑牢疫情防线。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综合运用财政补贴、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政府债券、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贴息、政策性保险、政府投资基金等手段，支持保障性安居工程、市政和产业园区基础设施、重点区域生态保护和修复等项目建设。开展电子消费券促消费活动，设立服务业专项资金，拉动消费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46700万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元。继续实施市区契税补贴政策，激活房地产交易市场。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二是坚持创新引领，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助力创新型城市建设。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全市财政科技支出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109087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万元，占一般公共预算支出的比重为3.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%，增长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100.8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，支持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中原关键金属实验室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等重大科创项目建设，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助力产业加速转型。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深化科研经费改革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落实科技“1+8”政策、科技人才30条政策，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足额拨付人才发展专项资金，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强化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人才支撑。拨付“三大改造”等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支持企业发展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资金138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元，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扶持“专精特新”中小企业创新发展，我市国家级“小巨人”企业由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3家增长至9家，省级“专精特新”中小企业由23家增长至50家。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注资壮大三门峡国兴产业投资基金，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吸引社会资本参与产业培育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，加快推动产业体系系统重塑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三是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eastAsia="zh-CN"/>
        </w:rPr>
        <w:t>巩固脱贫成果，扎实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推进乡村振兴。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坚决扛牢“四个不摘”责任，全市巩固脱贫衔接乡村振兴支出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119782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连续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绩效评价考核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获优秀等次，累计获奖励资金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104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00万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筹措下达粮食生产相关资金46422万元，全力保障粮食安全。开展三大主粮作物完全成本保险全覆盖和农业特色保险、苹果“保险+期货”，支持现代农业产业园、优势特色产业集群建设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，我市获得中央和省级特色农业保险奖励资金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5648万元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。统筹资金52138万元，支持全省美丽乡村标杆村创建工作。积极推进乡村建设，改进乡村治理，支持灵宝市成功申报美丽乡村重点县。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四是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深化黄河战略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，着力建设生态强市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全市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节能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环保支出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733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打好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蓝天、碧水、净土保卫战。扎实推动黄河流域生态保护和高质量发展，支持实施“十百千万亿”工程、山水林田湖草沙综合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治理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项目，争取到秦岭东段洛河流域山水林田湖草沙一体化保护和修复工程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1426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32万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黄河流域生态保护与污染防治项目世行贷款取得实质性进展。城市生态水系连通工程、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沿黄生态经济带（陕州城区段）、甘山国家森林公园生态修复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等2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个项目获得专项债券支持。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五是保基本兜底线，持续改善民生保障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全市民生支出20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19613万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元，占一般公共预算支出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比重为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73.2%，各项民生政策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较好落实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。坚持“三保”优先原则，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用好直达资金及工资发放专用账户，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我市财政“三保”执行总体较好。落实城乡义务教育经费保障机制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加大普惠性学前教育资源供给，不断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基础教育、高职教育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水平。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高质量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推进“人人持证、技能河南”建设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高校毕业生、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农民工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等重点群体就业创业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较好保障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退休人员基本养老金标准、城乡低保财政补助标准等稳步提高，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困难群众基本生活得到有效保障。提高基本公共卫生服务人均补助标准，市中医院迁建项目开工建设，公共卫生体系建设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不断完善。扎实推进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“政府采购百场戏”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“戏曲进校园”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等群众文化活动，群众文化生活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更加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丰富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六是深化财政改革，强化财政管理监督。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我市灵宝、渑池、义马3个县（市）直管县改革顺利实施，零基预算改革全面铺开，预算绩效管理改革持续深化。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受省财政厅委托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研究制定全省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基层财政内控基本制度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规范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，扎实开展地方财经秩序专项整治，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预算管理一体化系统上线运行，财政电子票据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进入无纸化时代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，惠民惠农财政补贴资金“一卡通”扩面增效，直达资金支付进度位居全省第一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，政府采购营商环境评价稳居全省第一梯队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。债务化解达到省定目标，坚决遏制新增政府隐性债务，全市债务风险总体可控。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cs="Times New Roman"/>
          <w:color w:val="auto"/>
          <w:szCs w:val="32"/>
          <w:highlight w:val="none"/>
        </w:rPr>
        <w:t>202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年预算执行总体平稳，但仍面临一些问题和挑战，主要是：受疫情变化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影响，财政收入稳定增长的基础尚不牢固，</w:t>
      </w:r>
      <w:r>
        <w:rPr>
          <w:rFonts w:hint="default" w:ascii="Times New Roman" w:hAnsi="Times New Roman" w:cs="Times New Roman"/>
          <w:bCs/>
          <w:color w:val="auto"/>
          <w:szCs w:val="32"/>
          <w:highlight w:val="none"/>
        </w:rPr>
        <w:t>“三保”等刚性支出增长较快，</w:t>
      </w:r>
      <w:r>
        <w:rPr>
          <w:rFonts w:hint="default" w:ascii="Times New Roman" w:hAnsi="Times New Roman" w:cs="Times New Roman"/>
          <w:bCs/>
          <w:color w:val="auto"/>
          <w:szCs w:val="32"/>
          <w:highlight w:val="none"/>
          <w:lang w:eastAsia="zh-CN"/>
        </w:rPr>
        <w:t>县（市、区）财政收支矛盾较为突出；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预算法治意识仍需持续强化，预算安排约束力不强；过紧日子的思想还没有完全树牢，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eastAsia="zh-CN"/>
        </w:rPr>
        <w:t>有的财政资金使用效益不高，全过程绩效管理需要加强；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部分县（市、区）政府债务负担较重，偿债压力较大，债务风险不容忽视等。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审计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对我市202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年财政预算执行和其他财政收支情况进行了审计，针对审计发现的问题提出了建设性意见建议。市政府已要求有关部门和县（市、区）按照审计意见，加大审计整改力度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市财政局认真组织整改落实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eastAsia="zh-CN"/>
        </w:rPr>
        <w:t>工作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，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eastAsia="zh-CN"/>
        </w:rPr>
        <w:t>有的问题已在审计过程中整改，有的问题正在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从制度机制层面研究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eastAsia="zh-CN"/>
        </w:rPr>
        <w:t>具体整改措施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三、2023年1—6月份预算执行情况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/>
        <w:textAlignment w:val="auto"/>
        <w:rPr>
          <w:rFonts w:hint="default" w:ascii="Times New Roman" w:hAnsi="Times New Roman" w:cs="Times New Roman"/>
          <w:color w:val="auto"/>
          <w:spacing w:val="-6"/>
          <w:sz w:val="32"/>
          <w:highlight w:val="none"/>
        </w:rPr>
      </w:pPr>
      <w:r>
        <w:rPr>
          <w:rFonts w:hint="default" w:ascii="Times New Roman" w:hAnsi="Times New Roman" w:cs="Times New Roman"/>
          <w:color w:val="auto"/>
          <w:spacing w:val="-6"/>
          <w:sz w:val="32"/>
          <w:highlight w:val="none"/>
        </w:rPr>
        <w:t>20</w:t>
      </w:r>
      <w:r>
        <w:rPr>
          <w:rFonts w:hint="default" w:ascii="Times New Roman" w:hAnsi="Times New Roman" w:cs="Times New Roman"/>
          <w:color w:val="auto"/>
          <w:spacing w:val="-6"/>
          <w:sz w:val="32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pacing w:val="-6"/>
          <w:sz w:val="32"/>
          <w:highlight w:val="none"/>
          <w:lang w:val="en"/>
        </w:rPr>
        <w:t>3</w:t>
      </w:r>
      <w:r>
        <w:rPr>
          <w:rFonts w:hint="default" w:ascii="Times New Roman" w:hAnsi="Times New Roman" w:cs="Times New Roman"/>
          <w:color w:val="auto"/>
          <w:spacing w:val="-6"/>
          <w:sz w:val="32"/>
          <w:highlight w:val="none"/>
        </w:rPr>
        <w:t>年是</w:t>
      </w:r>
      <w:r>
        <w:rPr>
          <w:rFonts w:hint="default" w:ascii="Times New Roman" w:hAnsi="Times New Roman" w:cs="Times New Roman"/>
          <w:color w:val="auto"/>
          <w:spacing w:val="-6"/>
          <w:sz w:val="32"/>
          <w:highlight w:val="none"/>
          <w:lang w:eastAsia="zh-CN"/>
        </w:rPr>
        <w:t>全面贯彻</w:t>
      </w:r>
      <w:r>
        <w:rPr>
          <w:rFonts w:hint="default" w:ascii="Times New Roman" w:hAnsi="Times New Roman" w:cs="Times New Roman"/>
          <w:color w:val="auto"/>
          <w:spacing w:val="-6"/>
          <w:sz w:val="32"/>
          <w:highlight w:val="none"/>
        </w:rPr>
        <w:t>党的二十大</w:t>
      </w:r>
      <w:r>
        <w:rPr>
          <w:rFonts w:hint="default" w:ascii="Times New Roman" w:hAnsi="Times New Roman" w:cs="Times New Roman"/>
          <w:color w:val="auto"/>
          <w:spacing w:val="-6"/>
          <w:sz w:val="32"/>
          <w:highlight w:val="none"/>
          <w:lang w:eastAsia="zh-CN"/>
        </w:rPr>
        <w:t>精神的开局之年，</w:t>
      </w:r>
      <w:r>
        <w:rPr>
          <w:rFonts w:hint="default" w:ascii="Times New Roman" w:hAnsi="Times New Roman" w:cs="Times New Roman"/>
          <w:color w:val="auto"/>
          <w:spacing w:val="-6"/>
          <w:sz w:val="32"/>
          <w:highlight w:val="none"/>
        </w:rPr>
        <w:t>是实施“十四</w:t>
      </w:r>
      <w:r>
        <w:rPr>
          <w:rFonts w:hint="default" w:ascii="Times New Roman" w:hAnsi="Times New Roman" w:cs="Times New Roman"/>
          <w:color w:val="auto"/>
          <w:spacing w:val="0"/>
          <w:sz w:val="32"/>
          <w:highlight w:val="none"/>
        </w:rPr>
        <w:t>五”规划</w:t>
      </w:r>
      <w:r>
        <w:rPr>
          <w:rFonts w:hint="default" w:ascii="Times New Roman" w:hAnsi="Times New Roman" w:cs="Times New Roman"/>
          <w:color w:val="auto"/>
          <w:spacing w:val="0"/>
          <w:sz w:val="32"/>
          <w:highlight w:val="none"/>
          <w:lang w:eastAsia="zh-CN"/>
        </w:rPr>
        <w:t>承上启下的关键之年，也是全力实现资源型城市向创新型城市蝶变的攻坚之年，做好财政工作意义重大。</w:t>
      </w:r>
      <w:r>
        <w:rPr>
          <w:rFonts w:hint="default" w:ascii="Times New Roman" w:hAnsi="Times New Roman" w:cs="Times New Roman"/>
          <w:color w:val="auto"/>
          <w:spacing w:val="0"/>
          <w:sz w:val="32"/>
          <w:highlight w:val="none"/>
        </w:rPr>
        <w:t>今年以来，全市各级财政部门紧紧围绕市委市政府决策部署，依法加强和改进财政预算管理，财政运行总体平稳，</w:t>
      </w:r>
      <w:r>
        <w:rPr>
          <w:rFonts w:hint="default" w:ascii="Times New Roman" w:hAnsi="Times New Roman" w:cs="Times New Roman"/>
          <w:color w:val="auto"/>
          <w:spacing w:val="0"/>
          <w:sz w:val="32"/>
          <w:highlight w:val="none"/>
          <w:lang w:eastAsia="zh-CN"/>
        </w:rPr>
        <w:t>顺利实现时间任务“双过半”预期目标。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/>
        <w:textAlignment w:val="auto"/>
        <w:rPr>
          <w:rFonts w:hint="default" w:ascii="Times New Roman" w:hAnsi="Times New Roman" w:eastAsia="楷体_GB2312" w:cs="Times New Roman"/>
          <w:b/>
          <w:highlight w:val="none"/>
        </w:rPr>
      </w:pPr>
      <w:r>
        <w:rPr>
          <w:rFonts w:hint="default" w:ascii="Times New Roman" w:hAnsi="Times New Roman" w:eastAsia="楷体_GB2312" w:cs="Times New Roman"/>
          <w:b/>
          <w:highlight w:val="none"/>
        </w:rPr>
        <w:t>（一）1—6月份预算执行情况。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bCs/>
          <w:highlight w:val="none"/>
        </w:rPr>
      </w:pPr>
      <w:r>
        <w:rPr>
          <w:rFonts w:hint="default" w:ascii="Times New Roman" w:hAnsi="Times New Roman" w:cs="Times New Roman"/>
          <w:b/>
          <w:highlight w:val="none"/>
        </w:rPr>
        <w:t>一是一般公共预算。</w:t>
      </w:r>
      <w:r>
        <w:rPr>
          <w:rFonts w:hint="default" w:ascii="Times New Roman" w:hAnsi="Times New Roman" w:cs="Times New Roman"/>
          <w:bCs/>
          <w:highlight w:val="none"/>
        </w:rPr>
        <w:t>全市一般公共预算收入完成787852万元，为预算的54.5%，下降0.5%；支出完成1529595万元，为预算的65%，增长7.5%。市级一般公共预算收入完成116195万元，为预算的</w:t>
      </w:r>
      <w:r>
        <w:rPr>
          <w:rFonts w:hint="default" w:ascii="Times New Roman" w:hAnsi="Times New Roman" w:cs="Times New Roman"/>
          <w:bCs/>
          <w:highlight w:val="none"/>
          <w:lang w:val="en-US" w:eastAsia="zh-CN"/>
        </w:rPr>
        <w:t>64</w:t>
      </w:r>
      <w:r>
        <w:rPr>
          <w:rFonts w:hint="default" w:ascii="Times New Roman" w:hAnsi="Times New Roman" w:cs="Times New Roman"/>
          <w:bCs/>
          <w:highlight w:val="none"/>
        </w:rPr>
        <w:t>%</w:t>
      </w:r>
      <w:r>
        <w:rPr>
          <w:rFonts w:hint="default" w:ascii="Times New Roman" w:hAnsi="Times New Roman" w:cs="Times New Roman"/>
          <w:bCs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bCs/>
          <w:highlight w:val="none"/>
        </w:rPr>
        <w:t>增长26.6%；支出完成300033万元，为预算的63.7%，增长2.7%。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/>
          <w:highlight w:val="none"/>
        </w:rPr>
        <w:t>二是政府性基金预算。</w:t>
      </w:r>
      <w:r>
        <w:rPr>
          <w:rFonts w:hint="default" w:ascii="Times New Roman" w:hAnsi="Times New Roman" w:cs="Times New Roman"/>
          <w:bCs/>
          <w:highlight w:val="none"/>
        </w:rPr>
        <w:t>全市政府性基金预算收入完成192206万元，为预算的42.6%，增长79%，主要是灵宝市专项债务对应的专项收入增长较多；支出完成347300万元，为预算的44.9%，增长31.2%，主要是专项债券支出增长较大。市级政府性基金预算收入完成17597万元，为预算的9.8%，下降66.7%</w:t>
      </w:r>
      <w:r>
        <w:rPr>
          <w:rFonts w:hint="default" w:ascii="Times New Roman" w:hAnsi="Times New Roman" w:cs="Times New Roman"/>
          <w:bCs/>
          <w:highlight w:val="none"/>
          <w:lang w:eastAsia="zh-CN"/>
        </w:rPr>
        <w:t>，主要是房地产市场不景气，土地交易市场仍然低迷</w:t>
      </w:r>
      <w:r>
        <w:rPr>
          <w:rFonts w:hint="default" w:ascii="Times New Roman" w:hAnsi="Times New Roman" w:cs="Times New Roman"/>
          <w:bCs/>
          <w:highlight w:val="none"/>
        </w:rPr>
        <w:t>；支出完成13567万元，为预算的16%，下降38.6%。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bCs/>
          <w:highlight w:val="none"/>
        </w:rPr>
      </w:pPr>
      <w:r>
        <w:rPr>
          <w:rFonts w:hint="default" w:ascii="Times New Roman" w:hAnsi="Times New Roman" w:cs="Times New Roman"/>
          <w:b/>
          <w:highlight w:val="none"/>
        </w:rPr>
        <w:t>三是国有资本经营预算。</w:t>
      </w:r>
      <w:r>
        <w:rPr>
          <w:rFonts w:hint="default" w:ascii="Times New Roman" w:hAnsi="Times New Roman" w:cs="Times New Roman"/>
          <w:bCs/>
          <w:highlight w:val="none"/>
        </w:rPr>
        <w:t>全市国有资本经营预算收入完成26494万元，为预算的40.5%</w:t>
      </w:r>
      <w:r>
        <w:rPr>
          <w:rFonts w:hint="default" w:ascii="Times New Roman" w:hAnsi="Times New Roman" w:cs="Times New Roman"/>
          <w:bCs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bCs/>
          <w:highlight w:val="none"/>
        </w:rPr>
        <w:t>支出完成278万元</w:t>
      </w:r>
      <w:r>
        <w:rPr>
          <w:rFonts w:hint="default" w:ascii="Times New Roman" w:hAnsi="Times New Roman" w:cs="Times New Roman"/>
          <w:bCs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bCs/>
          <w:highlight w:val="none"/>
        </w:rPr>
        <w:t>为预算的69.8%。市级国有资本经营预算收入完成40万元。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ind w:firstLine="643"/>
        <w:textAlignment w:val="auto"/>
        <w:rPr>
          <w:rFonts w:hint="default" w:ascii="Times New Roman" w:hAnsi="Times New Roman" w:eastAsia="仿宋_GB2312" w:cs="Times New Roman"/>
          <w:color w:val="FF0000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四是社会保险基金预算。</w:t>
      </w:r>
      <w:r>
        <w:rPr>
          <w:rFonts w:hint="default" w:ascii="Times New Roman" w:hAnsi="Times New Roman" w:cs="Times New Roman"/>
          <w:szCs w:val="32"/>
          <w:highlight w:val="none"/>
        </w:rPr>
        <w:t>全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cs="Times New Roman"/>
          <w:szCs w:val="32"/>
          <w:highlight w:val="none"/>
        </w:rPr>
        <w:t>社会保险基金预算收入完成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292845万</w:t>
      </w:r>
      <w:r>
        <w:rPr>
          <w:rFonts w:hint="default" w:ascii="Times New Roman" w:hAnsi="Times New Roman" w:cs="Times New Roman"/>
          <w:szCs w:val="32"/>
          <w:highlight w:val="none"/>
        </w:rPr>
        <w:t>元</w:t>
      </w:r>
      <w:r>
        <w:rPr>
          <w:rFonts w:hint="default" w:ascii="Times New Roman" w:hAnsi="Times New Roman" w:cs="Times New Roman"/>
          <w:szCs w:val="32"/>
          <w:highlight w:val="none"/>
          <w:lang w:val="en"/>
        </w:rPr>
        <w:t>，</w:t>
      </w:r>
      <w:r>
        <w:rPr>
          <w:rFonts w:hint="default" w:ascii="Times New Roman" w:hAnsi="Times New Roman" w:cs="Times New Roman"/>
          <w:szCs w:val="32"/>
          <w:highlight w:val="none"/>
        </w:rPr>
        <w:t>为预算的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46.2</w:t>
      </w:r>
      <w:r>
        <w:rPr>
          <w:rFonts w:hint="default" w:ascii="Times New Roman" w:hAnsi="Times New Roman" w:cs="Times New Roman"/>
          <w:szCs w:val="32"/>
          <w:highlight w:val="none"/>
        </w:rPr>
        <w:t>%</w:t>
      </w:r>
      <w:r>
        <w:rPr>
          <w:rFonts w:hint="default" w:ascii="Times New Roman" w:hAnsi="Times New Roman" w:cs="Times New Roman"/>
          <w:szCs w:val="32"/>
          <w:highlight w:val="none"/>
          <w:lang w:val="en"/>
        </w:rPr>
        <w:t>；</w:t>
      </w:r>
      <w:r>
        <w:rPr>
          <w:rFonts w:hint="default" w:ascii="Times New Roman" w:hAnsi="Times New Roman" w:cs="Times New Roman"/>
          <w:szCs w:val="32"/>
          <w:highlight w:val="none"/>
        </w:rPr>
        <w:t>支出完成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216376万</w:t>
      </w:r>
      <w:r>
        <w:rPr>
          <w:rFonts w:hint="default" w:ascii="Times New Roman" w:hAnsi="Times New Roman" w:cs="Times New Roman"/>
          <w:szCs w:val="32"/>
          <w:highlight w:val="none"/>
        </w:rPr>
        <w:t>元</w:t>
      </w:r>
      <w:r>
        <w:rPr>
          <w:rFonts w:hint="default" w:ascii="Times New Roman" w:hAnsi="Times New Roman" w:cs="Times New Roman"/>
          <w:szCs w:val="32"/>
          <w:highlight w:val="none"/>
          <w:lang w:val="en"/>
        </w:rPr>
        <w:t>，</w:t>
      </w:r>
      <w:r>
        <w:rPr>
          <w:rFonts w:hint="default" w:ascii="Times New Roman" w:hAnsi="Times New Roman" w:cs="Times New Roman"/>
          <w:szCs w:val="32"/>
          <w:highlight w:val="none"/>
        </w:rPr>
        <w:t>为预算的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37.4</w:t>
      </w:r>
      <w:r>
        <w:rPr>
          <w:rFonts w:hint="default" w:ascii="Times New Roman" w:hAnsi="Times New Roman" w:cs="Times New Roman"/>
          <w:szCs w:val="32"/>
          <w:highlight w:val="none"/>
        </w:rPr>
        <w:t>%。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cs="Times New Roman"/>
          <w:szCs w:val="32"/>
          <w:highlight w:val="none"/>
        </w:rPr>
        <w:t>级社会保险基金预算收入完成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256354万</w:t>
      </w:r>
      <w:r>
        <w:rPr>
          <w:rFonts w:hint="default" w:ascii="Times New Roman" w:hAnsi="Times New Roman" w:cs="Times New Roman"/>
          <w:szCs w:val="32"/>
          <w:highlight w:val="none"/>
        </w:rPr>
        <w:t>元</w:t>
      </w:r>
      <w:r>
        <w:rPr>
          <w:rFonts w:hint="default" w:ascii="Times New Roman" w:hAnsi="Times New Roman" w:cs="Times New Roman"/>
          <w:szCs w:val="32"/>
          <w:highlight w:val="none"/>
          <w:lang w:val="en"/>
        </w:rPr>
        <w:t>，</w:t>
      </w:r>
      <w:r>
        <w:rPr>
          <w:rFonts w:hint="default" w:ascii="Times New Roman" w:hAnsi="Times New Roman" w:cs="Times New Roman"/>
          <w:szCs w:val="32"/>
          <w:highlight w:val="none"/>
        </w:rPr>
        <w:t>为预算的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45.4%</w:t>
      </w:r>
      <w:r>
        <w:rPr>
          <w:rFonts w:hint="default" w:ascii="Times New Roman" w:hAnsi="Times New Roman" w:cs="Times New Roman"/>
          <w:szCs w:val="32"/>
          <w:highlight w:val="none"/>
          <w:lang w:val="en"/>
        </w:rPr>
        <w:t>；</w:t>
      </w:r>
      <w:r>
        <w:rPr>
          <w:rFonts w:hint="default" w:ascii="Times New Roman" w:hAnsi="Times New Roman" w:cs="Times New Roman"/>
          <w:szCs w:val="32"/>
          <w:highlight w:val="none"/>
        </w:rPr>
        <w:t>支出完成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189048万</w:t>
      </w:r>
      <w:r>
        <w:rPr>
          <w:rFonts w:hint="default" w:ascii="Times New Roman" w:hAnsi="Times New Roman" w:cs="Times New Roman"/>
          <w:szCs w:val="32"/>
          <w:highlight w:val="none"/>
        </w:rPr>
        <w:t>元，为预算的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35.7</w:t>
      </w:r>
      <w:r>
        <w:rPr>
          <w:rFonts w:hint="default" w:ascii="Times New Roman" w:hAnsi="Times New Roman" w:cs="Times New Roman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highlight w:val="none"/>
          <w:lang w:eastAsia="zh-CN"/>
        </w:rPr>
        <w:t>五是地方政府债务情况。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上半年，省财政厅下达我市新增地方政府专项债务限额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266000万元，结合实际，全市已发行专项债券264300万元；全市政府债券还本付息198789万元，其中还本141183万元，付息57606万元。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color w:val="FF0000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总体看，今年上半年，全市各级财政部门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加力提效落实</w:t>
      </w:r>
      <w:r>
        <w:rPr>
          <w:rFonts w:hint="default" w:ascii="Times New Roman" w:hAnsi="Times New Roman" w:cs="Times New Roman"/>
          <w:color w:val="auto"/>
          <w:highlight w:val="none"/>
        </w:rPr>
        <w:t>积极的财政政策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，加强财政资源统筹，多措并举推动经济回升向好，</w:t>
      </w:r>
      <w:r>
        <w:rPr>
          <w:rFonts w:hint="default" w:ascii="Times New Roman" w:hAnsi="Times New Roman" w:cs="Times New Roman"/>
          <w:color w:val="auto"/>
          <w:highlight w:val="none"/>
        </w:rPr>
        <w:t>全市财政总体保持平稳态势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，但财政收支平衡压力仍然较大，完成全年目标需要付出艰苦努力</w:t>
      </w:r>
      <w:r>
        <w:rPr>
          <w:rFonts w:hint="default" w:ascii="Times New Roman" w:hAnsi="Times New Roman" w:cs="Times New Roman"/>
          <w:color w:val="auto"/>
          <w:highlight w:val="none"/>
        </w:rPr>
        <w:t>。</w:t>
      </w:r>
      <w:r>
        <w:rPr>
          <w:rFonts w:hint="default" w:ascii="Times New Roman" w:hAnsi="Times New Roman" w:cs="Times New Roman"/>
          <w:b/>
          <w:color w:val="auto"/>
          <w:highlight w:val="none"/>
        </w:rPr>
        <w:t>收入方面，</w:t>
      </w:r>
      <w:r>
        <w:rPr>
          <w:rFonts w:hint="default" w:ascii="Times New Roman" w:hAnsi="Times New Roman" w:cs="Times New Roman"/>
          <w:color w:val="auto"/>
          <w:highlight w:val="none"/>
        </w:rPr>
        <w:t>上半年，全市一般公共预算收入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val="en-US" w:eastAsia="zh-CN"/>
        </w:rPr>
        <w:t>下降0.5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%，同比回落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val="en-US" w:eastAsia="zh-CN"/>
        </w:rPr>
        <w:t>0.7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个百分点。其中地方税收收入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val="en-US" w:eastAsia="zh-CN"/>
        </w:rPr>
        <w:t>下降2.1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%，税收占一般公共预算收入比重为6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val="en-US" w:eastAsia="zh-CN"/>
        </w:rPr>
        <w:t>0.9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%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eastAsia="zh-CN"/>
        </w:rPr>
        <w:t>，同比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val="en-US" w:eastAsia="zh-CN"/>
        </w:rPr>
        <w:t>下降1个百分点</w:t>
      </w:r>
      <w:r>
        <w:rPr>
          <w:rFonts w:hint="default" w:ascii="Times New Roman" w:hAnsi="Times New Roman" w:cs="Times New Roman"/>
          <w:color w:val="auto"/>
          <w:highlight w:val="none"/>
        </w:rPr>
        <w:t>。</w:t>
      </w:r>
      <w:r>
        <w:rPr>
          <w:rFonts w:hint="default" w:ascii="Times New Roman" w:hAnsi="Times New Roman" w:cs="Times New Roman"/>
          <w:b/>
          <w:color w:val="auto"/>
          <w:highlight w:val="none"/>
        </w:rPr>
        <w:t>支出方面，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坚持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eastAsia="zh-CN"/>
        </w:rPr>
        <w:t>过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紧日子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eastAsia="zh-CN"/>
        </w:rPr>
        <w:t>思想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，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eastAsia="zh-CN"/>
        </w:rPr>
        <w:t>大力</w:t>
      </w:r>
      <w:r>
        <w:rPr>
          <w:rFonts w:hint="default" w:ascii="Times New Roman" w:hAnsi="Times New Roman" w:cs="Times New Roman"/>
          <w:color w:val="auto"/>
          <w:highlight w:val="none"/>
        </w:rPr>
        <w:t>压减一般性支出，优化支出结构，科技、公共卫生、农林水等重点民生支出保障较好。上半年，全市民生支出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1125782</w:t>
      </w:r>
      <w:r>
        <w:rPr>
          <w:rFonts w:hint="default" w:ascii="Times New Roman" w:hAnsi="Times New Roman" w:cs="Times New Roman"/>
          <w:color w:val="auto"/>
          <w:highlight w:val="none"/>
        </w:rPr>
        <w:t>万元，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增长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10.4%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highlight w:val="none"/>
        </w:rPr>
        <w:t>占一般公共预算支出的比重为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73.6</w:t>
      </w:r>
      <w:r>
        <w:rPr>
          <w:rFonts w:hint="default" w:ascii="Times New Roman" w:hAnsi="Times New Roman" w:cs="Times New Roman"/>
          <w:color w:val="auto"/>
          <w:highlight w:val="none"/>
        </w:rPr>
        <w:t>%。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教育、</w:t>
      </w:r>
      <w:r>
        <w:rPr>
          <w:rFonts w:hint="default" w:ascii="Times New Roman" w:hAnsi="Times New Roman" w:cs="Times New Roman"/>
          <w:color w:val="auto"/>
          <w:highlight w:val="none"/>
        </w:rPr>
        <w:t>科技、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文化旅游、</w:t>
      </w:r>
      <w:r>
        <w:rPr>
          <w:rFonts w:hint="default" w:ascii="Times New Roman" w:hAnsi="Times New Roman" w:cs="Times New Roman"/>
          <w:color w:val="auto"/>
          <w:highlight w:val="none"/>
        </w:rPr>
        <w:t>卫生健康、节能环保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住房保障</w:t>
      </w:r>
      <w:r>
        <w:rPr>
          <w:rFonts w:hint="default" w:ascii="Times New Roman" w:hAnsi="Times New Roman" w:cs="Times New Roman"/>
          <w:color w:val="auto"/>
          <w:highlight w:val="none"/>
        </w:rPr>
        <w:t>等支出分别增长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25.3</w:t>
      </w:r>
      <w:r>
        <w:rPr>
          <w:rFonts w:hint="default" w:ascii="Times New Roman" w:hAnsi="Times New Roman" w:cs="Times New Roman"/>
          <w:color w:val="auto"/>
          <w:highlight w:val="none"/>
        </w:rPr>
        <w:t>%、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70.5</w:t>
      </w:r>
      <w:r>
        <w:rPr>
          <w:rFonts w:hint="default" w:ascii="Times New Roman" w:hAnsi="Times New Roman" w:cs="Times New Roman"/>
          <w:color w:val="auto"/>
          <w:highlight w:val="none"/>
        </w:rPr>
        <w:t>%、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49.1</w:t>
      </w:r>
      <w:r>
        <w:rPr>
          <w:rFonts w:hint="default" w:ascii="Times New Roman" w:hAnsi="Times New Roman" w:cs="Times New Roman"/>
          <w:color w:val="auto"/>
          <w:highlight w:val="none"/>
        </w:rPr>
        <w:t>%、1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0.6</w:t>
      </w:r>
      <w:r>
        <w:rPr>
          <w:rFonts w:hint="default" w:ascii="Times New Roman" w:hAnsi="Times New Roman" w:cs="Times New Roman"/>
          <w:color w:val="auto"/>
          <w:highlight w:val="none"/>
        </w:rPr>
        <w:t>%、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17.5</w:t>
      </w:r>
      <w:r>
        <w:rPr>
          <w:rFonts w:hint="default" w:ascii="Times New Roman" w:hAnsi="Times New Roman" w:cs="Times New Roman"/>
          <w:color w:val="auto"/>
          <w:highlight w:val="none"/>
        </w:rPr>
        <w:t>%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12.6%</w:t>
      </w:r>
      <w:r>
        <w:rPr>
          <w:rFonts w:hint="default" w:ascii="Times New Roman" w:hAnsi="Times New Roman" w:cs="Times New Roman"/>
          <w:color w:val="auto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highlight w:val="none"/>
          <w:u w:val="none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highlight w:val="none"/>
          <w:u w:val="none"/>
        </w:rPr>
        <w:t>下半年重点工作。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我们将深入贯彻落实中央、省和市委决策部署，严格执行市人大批准的预算，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eastAsia="zh-CN"/>
        </w:rPr>
        <w:t>坚持“紧日子保基本、调结构保战略”，推动积极的财政政策和资金靠前发力、精准落地、稳定预期，守住财政安全底线，为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推动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经济社会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高质量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发展提供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有力支持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。重点做好以下工作：</w:t>
      </w:r>
      <w:r>
        <w:rPr>
          <w:rFonts w:hint="default" w:ascii="Times New Roman" w:hAnsi="Times New Roman" w:cs="Times New Roman"/>
          <w:b/>
          <w:color w:val="auto"/>
          <w:szCs w:val="32"/>
          <w:highlight w:val="none"/>
          <w:u w:val="none"/>
        </w:rPr>
        <w:t>一是</w:t>
      </w:r>
      <w:r>
        <w:rPr>
          <w:rFonts w:hint="default" w:ascii="Times New Roman" w:hAnsi="Times New Roman" w:cs="Times New Roman"/>
          <w:b/>
          <w:color w:val="auto"/>
          <w:szCs w:val="32"/>
          <w:highlight w:val="none"/>
          <w:u w:val="none"/>
          <w:lang w:eastAsia="zh-CN"/>
        </w:rPr>
        <w:t>统筹收支管理，保障财政平稳运行。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加强经济财政形势分析研判，与产业主管部门、税费征管部门、县（市、区）密切配合、主动谋划，抓实收入征管，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做到应收尽收、应收足收，确保完成全年一般公共预算收入增长5%的预期目标。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加力争取上级政策资金支持，统筹盘活各类财政资金资源，集中财力办大事。完善常态化财政资金直达机制，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督促县（市、区）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和预算单位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切实加快支出进度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进一步勤俭节约坚持过紧日子，把牢预算管理、资产配置、政府采购等关口，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确保财政资金规范使用、提高效率、发挥效益。</w:t>
      </w:r>
      <w:r>
        <w:rPr>
          <w:rFonts w:hint="default" w:ascii="Times New Roman" w:hAnsi="Times New Roman" w:cs="Times New Roman"/>
          <w:b/>
          <w:color w:val="auto"/>
          <w:szCs w:val="32"/>
          <w:highlight w:val="none"/>
          <w:u w:val="none"/>
        </w:rPr>
        <w:t>二是</w:t>
      </w:r>
      <w:r>
        <w:rPr>
          <w:rFonts w:hint="default" w:ascii="Times New Roman" w:hAnsi="Times New Roman" w:cs="Times New Roman"/>
          <w:b/>
          <w:color w:val="auto"/>
          <w:szCs w:val="32"/>
          <w:highlight w:val="none"/>
          <w:u w:val="none"/>
          <w:lang w:eastAsia="zh-CN"/>
        </w:rPr>
        <w:t>强化财政支撑，</w:t>
      </w:r>
      <w:r>
        <w:rPr>
          <w:rFonts w:hint="eastAsia" w:ascii="Times New Roman" w:hAnsi="Times New Roman" w:cs="Times New Roman"/>
          <w:b/>
          <w:color w:val="auto"/>
          <w:szCs w:val="32"/>
          <w:highlight w:val="none"/>
          <w:u w:val="none"/>
          <w:lang w:eastAsia="zh-CN"/>
        </w:rPr>
        <w:t>全</w:t>
      </w:r>
      <w:r>
        <w:rPr>
          <w:rFonts w:hint="default" w:ascii="Times New Roman" w:hAnsi="Times New Roman" w:cs="Times New Roman"/>
          <w:b/>
          <w:color w:val="auto"/>
          <w:szCs w:val="32"/>
          <w:highlight w:val="none"/>
          <w:u w:val="none"/>
          <w:lang w:eastAsia="zh-CN"/>
        </w:rPr>
        <w:t>力拼经济</w:t>
      </w:r>
      <w:r>
        <w:rPr>
          <w:rFonts w:hint="eastAsia" w:ascii="Times New Roman" w:hAnsi="Times New Roman" w:cs="Times New Roman"/>
          <w:b/>
          <w:color w:val="auto"/>
          <w:szCs w:val="32"/>
          <w:highlight w:val="none"/>
          <w:u w:val="none"/>
          <w:lang w:eastAsia="zh-CN"/>
        </w:rPr>
        <w:t>促发展</w:t>
      </w:r>
      <w:r>
        <w:rPr>
          <w:rFonts w:hint="default" w:ascii="Times New Roman" w:hAnsi="Times New Roman" w:cs="Times New Roman"/>
          <w:b/>
          <w:color w:val="auto"/>
          <w:szCs w:val="32"/>
          <w:highlight w:val="none"/>
          <w:u w:val="none"/>
        </w:rPr>
        <w:t>。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持续深化“万人助万企”，落实落细支持中小企业发展各类财政政策，筹措资金支持市场主体培育，支持工业企业“三大改造”，出实招助企纾困发展。坚持把恢复和扩大消费摆在优先位置，精准加大消费补贴力度，让消费者得到真金白银的实惠。坚持项目为王，健全重大项目资金保障机制，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统筹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用好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中央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和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省基建资金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、政府专项债券等，集中支持“三个一批”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等重大工程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建设，加快形成更多实物工作量。深化财政金融协同配合、同向发力，利用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好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金融工具，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撬动更多社会资本投入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，进一步激发经济发展活力。</w:t>
      </w:r>
      <w:r>
        <w:rPr>
          <w:rFonts w:hint="default" w:ascii="Times New Roman" w:hAnsi="Times New Roman" w:cs="Times New Roman"/>
          <w:b/>
          <w:color w:val="auto"/>
          <w:szCs w:val="32"/>
          <w:highlight w:val="none"/>
          <w:u w:val="none"/>
          <w:lang w:eastAsia="zh-CN"/>
        </w:rPr>
        <w:t>三</w:t>
      </w:r>
      <w:r>
        <w:rPr>
          <w:rFonts w:hint="default" w:ascii="Times New Roman" w:hAnsi="Times New Roman" w:cs="Times New Roman"/>
          <w:b/>
          <w:color w:val="auto"/>
          <w:szCs w:val="32"/>
          <w:highlight w:val="none"/>
          <w:u w:val="none"/>
        </w:rPr>
        <w:t>是</w:t>
      </w:r>
      <w:r>
        <w:rPr>
          <w:rFonts w:hint="default" w:ascii="Times New Roman" w:hAnsi="Times New Roman" w:cs="Times New Roman"/>
          <w:b/>
          <w:color w:val="auto"/>
          <w:szCs w:val="32"/>
          <w:highlight w:val="none"/>
          <w:u w:val="none"/>
          <w:lang w:eastAsia="zh-CN"/>
        </w:rPr>
        <w:t>优化支出结构，</w:t>
      </w:r>
      <w:r>
        <w:rPr>
          <w:rFonts w:hint="default" w:ascii="Times New Roman" w:hAnsi="Times New Roman" w:cs="Times New Roman"/>
          <w:b/>
          <w:color w:val="auto"/>
          <w:szCs w:val="32"/>
          <w:highlight w:val="none"/>
          <w:u w:val="none"/>
        </w:rPr>
        <w:t>聚焦重点战略实施。</w:t>
      </w:r>
      <w:r>
        <w:rPr>
          <w:rFonts w:hint="default" w:ascii="Times New Roman" w:hAnsi="Times New Roman" w:cs="Times New Roman"/>
          <w:bCs/>
          <w:color w:val="auto"/>
          <w:szCs w:val="32"/>
          <w:highlight w:val="none"/>
          <w:u w:val="none"/>
          <w:lang w:eastAsia="zh-CN"/>
        </w:rPr>
        <w:t>继续保持财政科技投入高速增长</w:t>
      </w:r>
      <w:r>
        <w:rPr>
          <w:rFonts w:hint="default" w:ascii="Times New Roman" w:hAnsi="Times New Roman" w:cs="Times New Roman"/>
          <w:bCs/>
          <w:color w:val="auto"/>
          <w:szCs w:val="32"/>
          <w:highlight w:val="none"/>
          <w:u w:val="none"/>
        </w:rPr>
        <w:t>，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落实支持人才科技创新若干财政政策，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全力支持应用工程学院独立设本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32"/>
          <w:highlight w:val="none"/>
          <w:u w:val="none"/>
          <w:lang w:eastAsia="zh-CN"/>
        </w:rPr>
        <w:t>加快推进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资源型城市向创新型城市蝶变。加大财政支农力度，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支持扛稳粮食安全重任，有效巩固脱贫攻坚成果，深入实施乡村建设行动，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沿黄乡村振兴示范带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建设全面起势。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拓展多元融资渠道，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加强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生态强市建设，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支持山水林田湖草沙一体化保护和系统治理取得新进展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打造黄河流域生态保护和高质量发展样板标杆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cs="Times New Roman"/>
          <w:b/>
          <w:color w:val="auto"/>
          <w:highlight w:val="none"/>
          <w:u w:val="none"/>
          <w:lang w:eastAsia="zh-CN"/>
        </w:rPr>
        <w:t>四</w:t>
      </w:r>
      <w:r>
        <w:rPr>
          <w:rFonts w:hint="default" w:ascii="Times New Roman" w:hAnsi="Times New Roman" w:cs="Times New Roman"/>
          <w:b/>
          <w:color w:val="auto"/>
          <w:highlight w:val="none"/>
          <w:u w:val="none"/>
        </w:rPr>
        <w:t>是</w:t>
      </w:r>
      <w:r>
        <w:rPr>
          <w:rFonts w:hint="default" w:ascii="Times New Roman" w:hAnsi="Times New Roman" w:cs="Times New Roman"/>
          <w:b/>
          <w:color w:val="auto"/>
          <w:highlight w:val="none"/>
          <w:u w:val="none"/>
          <w:lang w:eastAsia="zh-CN"/>
        </w:rPr>
        <w:t>加大民生投入，持续增进</w:t>
      </w:r>
      <w:r>
        <w:rPr>
          <w:rFonts w:hint="default" w:ascii="Times New Roman" w:hAnsi="Times New Roman" w:cs="Times New Roman"/>
          <w:b/>
          <w:color w:val="auto"/>
          <w:highlight w:val="none"/>
          <w:u w:val="none"/>
        </w:rPr>
        <w:t>民生</w:t>
      </w:r>
      <w:r>
        <w:rPr>
          <w:rFonts w:hint="default" w:ascii="Times New Roman" w:hAnsi="Times New Roman" w:cs="Times New Roman"/>
          <w:b/>
          <w:color w:val="auto"/>
          <w:highlight w:val="none"/>
          <w:u w:val="none"/>
          <w:lang w:eastAsia="zh-CN"/>
        </w:rPr>
        <w:t>福祉</w:t>
      </w:r>
      <w:r>
        <w:rPr>
          <w:rFonts w:hint="default" w:ascii="Times New Roman" w:hAnsi="Times New Roman" w:cs="Times New Roman"/>
          <w:b/>
          <w:color w:val="auto"/>
          <w:highlight w:val="none"/>
          <w:u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坚持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以人民为中心，不折不扣落实好民生政策，</w:t>
      </w:r>
      <w:r>
        <w:rPr>
          <w:rFonts w:hint="default" w:ascii="Times New Roman" w:hAnsi="Times New Roman" w:cs="Times New Roman"/>
          <w:color w:val="auto"/>
          <w:highlight w:val="none"/>
          <w:u w:val="none"/>
        </w:rPr>
        <w:t>支持办好全市重点民生实事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，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着力解决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好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就业、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教育、养老、医疗、优抚等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事关群众切身利益问题，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保障好困难群众基本生活，解决好人民群众急难愁盼问题，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稳步提高公共服务均等化水平。坚持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尽力而为、量力而行，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健全民生政策和财政承受能力评估机制，严格实施民生支出清单管理制度，切实保障民生支出的稳定性和可持续性。</w:t>
      </w:r>
      <w:r>
        <w:rPr>
          <w:rFonts w:hint="default" w:ascii="Times New Roman" w:hAnsi="Times New Roman" w:cs="Times New Roman"/>
          <w:b/>
          <w:color w:val="auto"/>
          <w:highlight w:val="none"/>
          <w:u w:val="none"/>
          <w:lang w:eastAsia="zh-CN"/>
        </w:rPr>
        <w:t>五</w:t>
      </w:r>
      <w:r>
        <w:rPr>
          <w:rFonts w:hint="default" w:ascii="Times New Roman" w:hAnsi="Times New Roman" w:cs="Times New Roman"/>
          <w:b/>
          <w:color w:val="auto"/>
          <w:highlight w:val="none"/>
          <w:u w:val="none"/>
        </w:rPr>
        <w:t>是</w:t>
      </w:r>
      <w:r>
        <w:rPr>
          <w:rFonts w:hint="default" w:ascii="Times New Roman" w:hAnsi="Times New Roman" w:cs="Times New Roman"/>
          <w:b/>
          <w:color w:val="auto"/>
          <w:highlight w:val="none"/>
          <w:u w:val="none"/>
          <w:lang w:eastAsia="zh-CN"/>
        </w:rPr>
        <w:t>防范化解风险，筑牢财政安全屏障。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落实好“三保”预算编制审核、预算执行监督和风险防控三项机制，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加强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动态监控、精准调度，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确保基层“三保”不出问题。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实行政府债券“借、用、管、还”全链条穿透式管控，坚决防范兑付风险。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坚决遏制新增隐性债务，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稳妥化解存量隐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性债务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，高压惩治违规举债行为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扎实推进融资平台公司市场化转型，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逐步剥离政府融资功能。扎实开展财会监督和预算执行监督专项行动，加强预决算公开检查，深化内控内审工作，严肃财经纪律。</w:t>
      </w:r>
      <w:r>
        <w:rPr>
          <w:rFonts w:hint="default" w:ascii="Times New Roman" w:hAnsi="Times New Roman" w:cs="Times New Roman"/>
          <w:b/>
          <w:color w:val="auto"/>
          <w:szCs w:val="32"/>
          <w:highlight w:val="none"/>
          <w:u w:val="none"/>
          <w:lang w:eastAsia="zh-CN"/>
        </w:rPr>
        <w:t>六</w:t>
      </w:r>
      <w:r>
        <w:rPr>
          <w:rFonts w:hint="default" w:ascii="Times New Roman" w:hAnsi="Times New Roman" w:cs="Times New Roman"/>
          <w:b/>
          <w:color w:val="auto"/>
          <w:szCs w:val="32"/>
          <w:highlight w:val="none"/>
          <w:u w:val="none"/>
        </w:rPr>
        <w:t>是</w:t>
      </w:r>
      <w:r>
        <w:rPr>
          <w:rFonts w:hint="default" w:ascii="Times New Roman" w:hAnsi="Times New Roman" w:cs="Times New Roman"/>
          <w:b/>
          <w:color w:val="auto"/>
          <w:szCs w:val="32"/>
          <w:highlight w:val="none"/>
          <w:u w:val="none"/>
          <w:lang w:eastAsia="zh-CN"/>
        </w:rPr>
        <w:t>深化财政治理，提高管财理财水平。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加快研究制定市与区财政体制改革方案，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推进市与区协调均衡发展。坚持分类施策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推进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新一轮国企改革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全面整合重组国有资产资源，更好发挥国有资本投资运营公司功能作用。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进一步深化预算管理制度改革，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做深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  <w:lang w:eastAsia="zh-CN"/>
        </w:rPr>
        <w:t>做实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none"/>
        </w:rPr>
        <w:t>预算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u w:val="none"/>
        </w:rPr>
        <w:t>绩效管理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u w:val="none"/>
        </w:rPr>
        <w:t>完善支出标准体系建设，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6"/>
          <w:sz w:val="32"/>
          <w:szCs w:val="32"/>
          <w:highlight w:val="none"/>
          <w:lang w:eastAsia="zh-CN"/>
        </w:rPr>
        <w:t>持续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优化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预算管理一体化系统功能，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u w:val="none"/>
        </w:rPr>
        <w:t>切实做到“花钱必问效、无效必问责”。严格贯彻落实预算法及其实施条例、《河南省预算审查监督条例》等规定，积极配合支持人大依法开展预算审查监督，不断提升财政预算管理水平。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Cs w:val="32"/>
          <w:highlight w:val="none"/>
        </w:rPr>
        <w:t>主任、各位副主任、秘书长、各位委员：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16" w:firstLineChars="200"/>
        <w:textAlignment w:val="auto"/>
        <w:rPr>
          <w:rFonts w:hint="default" w:ascii="Times New Roman" w:hAnsi="Times New Roman" w:eastAsia="仿宋_GB2312" w:cs="Times New Roman"/>
          <w:color w:val="FF0000"/>
          <w:spacing w:val="-6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pacing w:val="-6"/>
          <w:szCs w:val="32"/>
          <w:highlight w:val="none"/>
        </w:rPr>
        <w:t>我们将</w:t>
      </w:r>
      <w:r>
        <w:rPr>
          <w:rFonts w:hint="default" w:ascii="Times New Roman" w:hAnsi="Times New Roman" w:cs="Times New Roman"/>
          <w:color w:val="auto"/>
          <w:spacing w:val="-6"/>
          <w:szCs w:val="32"/>
          <w:highlight w:val="none"/>
          <w:lang w:eastAsia="zh-CN"/>
        </w:rPr>
        <w:t>以开展学习贯彻</w:t>
      </w:r>
      <w:r>
        <w:rPr>
          <w:rFonts w:hint="default" w:ascii="Times New Roman" w:hAnsi="Times New Roman" w:cs="Times New Roman"/>
          <w:color w:val="auto"/>
          <w:spacing w:val="-6"/>
          <w:szCs w:val="32"/>
          <w:highlight w:val="none"/>
        </w:rPr>
        <w:t>习近平新时代中国特色社会主义思想</w:t>
      </w:r>
      <w:r>
        <w:rPr>
          <w:rFonts w:hint="default" w:ascii="Times New Roman" w:hAnsi="Times New Roman" w:cs="Times New Roman"/>
          <w:color w:val="auto"/>
          <w:spacing w:val="-6"/>
          <w:szCs w:val="32"/>
          <w:highlight w:val="none"/>
          <w:lang w:eastAsia="zh-CN"/>
        </w:rPr>
        <w:t>主题教育为动力，全面学习、全面把握、全面落实党的二十大精神，</w:t>
      </w:r>
      <w:r>
        <w:rPr>
          <w:rFonts w:hint="default" w:ascii="Times New Roman" w:hAnsi="Times New Roman" w:cs="Times New Roman"/>
          <w:color w:val="auto"/>
          <w:spacing w:val="-6"/>
          <w:szCs w:val="32"/>
          <w:highlight w:val="none"/>
        </w:rPr>
        <w:t>深入学习贯彻习近平总书记关于河南工作的重要讲话指示批示精神，深刻认识“两个确立”的决定性意义，增强“四个意识”、坚定“四个自信”、做到“两个维护”，紧紧围绕市委市政府决策部署，自觉接受市人大及其常委会的监督，认真落实本次会议审查意见，积极</w:t>
      </w:r>
      <w:r>
        <w:rPr>
          <w:rFonts w:hint="default" w:ascii="Times New Roman" w:hAnsi="Times New Roman" w:cs="Times New Roman"/>
          <w:color w:val="auto"/>
          <w:spacing w:val="-6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cs="Times New Roman"/>
          <w:color w:val="auto"/>
          <w:spacing w:val="-6"/>
          <w:szCs w:val="32"/>
          <w:highlight w:val="none"/>
        </w:rPr>
        <w:t>发挥财政职能作用，</w:t>
      </w:r>
      <w:r>
        <w:rPr>
          <w:rFonts w:hint="default" w:ascii="Times New Roman" w:hAnsi="Times New Roman" w:cs="Times New Roman"/>
          <w:color w:val="auto"/>
          <w:spacing w:val="-6"/>
          <w:szCs w:val="32"/>
          <w:highlight w:val="none"/>
          <w:lang w:eastAsia="zh-CN"/>
        </w:rPr>
        <w:t>为</w:t>
      </w:r>
      <w:r>
        <w:rPr>
          <w:rFonts w:hint="default" w:ascii="Times New Roman" w:hAnsi="Times New Roman" w:cs="Times New Roman"/>
          <w:color w:val="auto"/>
          <w:spacing w:val="-6"/>
          <w:szCs w:val="32"/>
          <w:highlight w:val="none"/>
        </w:rPr>
        <w:t>加快建</w:t>
      </w:r>
      <w:r>
        <w:rPr>
          <w:rFonts w:hint="default" w:ascii="Times New Roman" w:hAnsi="Times New Roman" w:cs="Times New Roman"/>
          <w:color w:val="auto"/>
          <w:spacing w:val="-6"/>
          <w:szCs w:val="32"/>
          <w:highlight w:val="none"/>
          <w:lang w:eastAsia="zh-CN"/>
        </w:rPr>
        <w:t>设“三个城市”、全力打造“五个强市”、持续壮大“六个经济”</w:t>
      </w:r>
      <w:r>
        <w:rPr>
          <w:rFonts w:hint="default" w:ascii="Times New Roman" w:hAnsi="Times New Roman" w:cs="Times New Roman"/>
          <w:color w:val="auto"/>
          <w:spacing w:val="-6"/>
          <w:szCs w:val="32"/>
          <w:highlight w:val="none"/>
        </w:rPr>
        <w:t>贡献</w:t>
      </w:r>
      <w:r>
        <w:rPr>
          <w:rFonts w:hint="default" w:ascii="Times New Roman" w:hAnsi="Times New Roman" w:cs="Times New Roman"/>
          <w:color w:val="auto"/>
          <w:spacing w:val="-6"/>
          <w:szCs w:val="32"/>
          <w:highlight w:val="none"/>
          <w:lang w:eastAsia="zh-CN"/>
        </w:rPr>
        <w:t>更大</w:t>
      </w:r>
      <w:r>
        <w:rPr>
          <w:rFonts w:hint="default" w:ascii="Times New Roman" w:hAnsi="Times New Roman" w:cs="Times New Roman"/>
          <w:color w:val="auto"/>
          <w:spacing w:val="-6"/>
          <w:szCs w:val="32"/>
          <w:highlight w:val="none"/>
        </w:rPr>
        <w:t>财政力量</w:t>
      </w:r>
      <w:r>
        <w:rPr>
          <w:rFonts w:hint="default" w:ascii="Times New Roman" w:hAnsi="Times New Roman" w:cs="Times New Roman"/>
          <w:color w:val="auto"/>
          <w:spacing w:val="-6"/>
          <w:szCs w:val="32"/>
          <w:highlight w:val="none"/>
          <w:lang w:eastAsia="zh-CN"/>
        </w:rPr>
        <w:t>！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auto"/>
          <w:szCs w:val="32"/>
          <w:highlight w:val="none"/>
        </w:rPr>
        <w:t>以上报告，请予审议。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211" w:right="1531" w:bottom="1871" w:left="1531" w:header="851" w:footer="147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YTA0NDdiZmVlOTlmYWU4ZTIzNmRhYzc1MjIyN2YifQ=="/>
  </w:docVars>
  <w:rsids>
    <w:rsidRoot w:val="009E14EA"/>
    <w:rsid w:val="00000C3C"/>
    <w:rsid w:val="00001FF1"/>
    <w:rsid w:val="00002F47"/>
    <w:rsid w:val="000056F5"/>
    <w:rsid w:val="000071B5"/>
    <w:rsid w:val="00015718"/>
    <w:rsid w:val="00022807"/>
    <w:rsid w:val="00047FBD"/>
    <w:rsid w:val="0005336A"/>
    <w:rsid w:val="0005385E"/>
    <w:rsid w:val="00056768"/>
    <w:rsid w:val="000679FA"/>
    <w:rsid w:val="00070A1B"/>
    <w:rsid w:val="000729A7"/>
    <w:rsid w:val="000738A0"/>
    <w:rsid w:val="0007483B"/>
    <w:rsid w:val="000779C7"/>
    <w:rsid w:val="00083C1A"/>
    <w:rsid w:val="0008539B"/>
    <w:rsid w:val="00086D8D"/>
    <w:rsid w:val="000971C5"/>
    <w:rsid w:val="000A013C"/>
    <w:rsid w:val="000A510C"/>
    <w:rsid w:val="000B063D"/>
    <w:rsid w:val="000B0CDD"/>
    <w:rsid w:val="000B192D"/>
    <w:rsid w:val="000C60BE"/>
    <w:rsid w:val="000C745F"/>
    <w:rsid w:val="000D243F"/>
    <w:rsid w:val="000D4A22"/>
    <w:rsid w:val="000D4C35"/>
    <w:rsid w:val="000D4DCA"/>
    <w:rsid w:val="000E010A"/>
    <w:rsid w:val="000E1693"/>
    <w:rsid w:val="000E2DCB"/>
    <w:rsid w:val="000E4149"/>
    <w:rsid w:val="000F0D93"/>
    <w:rsid w:val="000F3177"/>
    <w:rsid w:val="000F4FD4"/>
    <w:rsid w:val="0010003E"/>
    <w:rsid w:val="00100BC4"/>
    <w:rsid w:val="001043A4"/>
    <w:rsid w:val="00104A96"/>
    <w:rsid w:val="00114DE5"/>
    <w:rsid w:val="00125282"/>
    <w:rsid w:val="00127CBE"/>
    <w:rsid w:val="00133AE4"/>
    <w:rsid w:val="00136A9B"/>
    <w:rsid w:val="0014172E"/>
    <w:rsid w:val="001454D5"/>
    <w:rsid w:val="00145A8F"/>
    <w:rsid w:val="00152279"/>
    <w:rsid w:val="00153846"/>
    <w:rsid w:val="00154229"/>
    <w:rsid w:val="00155C6C"/>
    <w:rsid w:val="00174B72"/>
    <w:rsid w:val="00175A93"/>
    <w:rsid w:val="00177FCE"/>
    <w:rsid w:val="00180CAB"/>
    <w:rsid w:val="001814BB"/>
    <w:rsid w:val="00181E27"/>
    <w:rsid w:val="001848BD"/>
    <w:rsid w:val="00191C75"/>
    <w:rsid w:val="0019333E"/>
    <w:rsid w:val="00194DBF"/>
    <w:rsid w:val="001B5895"/>
    <w:rsid w:val="001C0E9E"/>
    <w:rsid w:val="001C1ABB"/>
    <w:rsid w:val="001C2653"/>
    <w:rsid w:val="001C52A7"/>
    <w:rsid w:val="001C54D7"/>
    <w:rsid w:val="001D49A7"/>
    <w:rsid w:val="001E054A"/>
    <w:rsid w:val="001E1C61"/>
    <w:rsid w:val="001F4D9F"/>
    <w:rsid w:val="00207296"/>
    <w:rsid w:val="00207FCE"/>
    <w:rsid w:val="00210FAE"/>
    <w:rsid w:val="002135A5"/>
    <w:rsid w:val="002171E9"/>
    <w:rsid w:val="002267CF"/>
    <w:rsid w:val="00227AA3"/>
    <w:rsid w:val="00231AE6"/>
    <w:rsid w:val="00236C32"/>
    <w:rsid w:val="0024341F"/>
    <w:rsid w:val="002550E1"/>
    <w:rsid w:val="0025554F"/>
    <w:rsid w:val="00263F02"/>
    <w:rsid w:val="00270B91"/>
    <w:rsid w:val="002A1AB3"/>
    <w:rsid w:val="002A44AA"/>
    <w:rsid w:val="002A5162"/>
    <w:rsid w:val="002A5FF3"/>
    <w:rsid w:val="002A622E"/>
    <w:rsid w:val="002B4118"/>
    <w:rsid w:val="002B56EF"/>
    <w:rsid w:val="002C5171"/>
    <w:rsid w:val="002C644E"/>
    <w:rsid w:val="002D3A20"/>
    <w:rsid w:val="002E1A75"/>
    <w:rsid w:val="002E58DA"/>
    <w:rsid w:val="002F0271"/>
    <w:rsid w:val="002F3837"/>
    <w:rsid w:val="002F48A4"/>
    <w:rsid w:val="00301C4F"/>
    <w:rsid w:val="00311C92"/>
    <w:rsid w:val="003124CA"/>
    <w:rsid w:val="00312D7D"/>
    <w:rsid w:val="00316054"/>
    <w:rsid w:val="003178E1"/>
    <w:rsid w:val="00332479"/>
    <w:rsid w:val="00332D18"/>
    <w:rsid w:val="00334637"/>
    <w:rsid w:val="003367CB"/>
    <w:rsid w:val="00340923"/>
    <w:rsid w:val="00344768"/>
    <w:rsid w:val="0034480C"/>
    <w:rsid w:val="00347CED"/>
    <w:rsid w:val="0035554C"/>
    <w:rsid w:val="003569C7"/>
    <w:rsid w:val="00360B54"/>
    <w:rsid w:val="003633BF"/>
    <w:rsid w:val="00363A6A"/>
    <w:rsid w:val="003640C2"/>
    <w:rsid w:val="00373A97"/>
    <w:rsid w:val="003754D1"/>
    <w:rsid w:val="00376C90"/>
    <w:rsid w:val="00380AA9"/>
    <w:rsid w:val="003815F6"/>
    <w:rsid w:val="00382716"/>
    <w:rsid w:val="0038344B"/>
    <w:rsid w:val="003836F3"/>
    <w:rsid w:val="00385EB8"/>
    <w:rsid w:val="003926E4"/>
    <w:rsid w:val="00392BDE"/>
    <w:rsid w:val="00395E07"/>
    <w:rsid w:val="003A4244"/>
    <w:rsid w:val="003A6C5E"/>
    <w:rsid w:val="003B1584"/>
    <w:rsid w:val="003B2F1F"/>
    <w:rsid w:val="003B35D9"/>
    <w:rsid w:val="003B7D46"/>
    <w:rsid w:val="003C45C9"/>
    <w:rsid w:val="003D5593"/>
    <w:rsid w:val="003D61CB"/>
    <w:rsid w:val="003D76EE"/>
    <w:rsid w:val="003E2CD4"/>
    <w:rsid w:val="003F041A"/>
    <w:rsid w:val="00406767"/>
    <w:rsid w:val="00413026"/>
    <w:rsid w:val="004209C9"/>
    <w:rsid w:val="00432CCC"/>
    <w:rsid w:val="00433A3A"/>
    <w:rsid w:val="00445551"/>
    <w:rsid w:val="004773FC"/>
    <w:rsid w:val="00477FBD"/>
    <w:rsid w:val="00487E73"/>
    <w:rsid w:val="0049012D"/>
    <w:rsid w:val="004B1A7D"/>
    <w:rsid w:val="004B31CB"/>
    <w:rsid w:val="004C24BD"/>
    <w:rsid w:val="004C3DEC"/>
    <w:rsid w:val="004C4792"/>
    <w:rsid w:val="004C6F48"/>
    <w:rsid w:val="004D1245"/>
    <w:rsid w:val="004D7A92"/>
    <w:rsid w:val="004E7594"/>
    <w:rsid w:val="004F4778"/>
    <w:rsid w:val="004F6817"/>
    <w:rsid w:val="0050347A"/>
    <w:rsid w:val="00507C82"/>
    <w:rsid w:val="00510ACB"/>
    <w:rsid w:val="00510E8F"/>
    <w:rsid w:val="00531E4B"/>
    <w:rsid w:val="005338A1"/>
    <w:rsid w:val="005423D3"/>
    <w:rsid w:val="00552215"/>
    <w:rsid w:val="0056443A"/>
    <w:rsid w:val="0057456B"/>
    <w:rsid w:val="00574686"/>
    <w:rsid w:val="00576096"/>
    <w:rsid w:val="0057634D"/>
    <w:rsid w:val="0057666E"/>
    <w:rsid w:val="005775CE"/>
    <w:rsid w:val="00582762"/>
    <w:rsid w:val="0058397F"/>
    <w:rsid w:val="00585A45"/>
    <w:rsid w:val="00587540"/>
    <w:rsid w:val="005930CE"/>
    <w:rsid w:val="00593B92"/>
    <w:rsid w:val="005A422F"/>
    <w:rsid w:val="005A6EB2"/>
    <w:rsid w:val="005A71D5"/>
    <w:rsid w:val="005B5EB4"/>
    <w:rsid w:val="005C0A2C"/>
    <w:rsid w:val="005C3528"/>
    <w:rsid w:val="005D02C1"/>
    <w:rsid w:val="005E1D32"/>
    <w:rsid w:val="005F744F"/>
    <w:rsid w:val="00621E7F"/>
    <w:rsid w:val="006232EC"/>
    <w:rsid w:val="0063083B"/>
    <w:rsid w:val="00630F0B"/>
    <w:rsid w:val="00633A7D"/>
    <w:rsid w:val="0063525A"/>
    <w:rsid w:val="00642891"/>
    <w:rsid w:val="00642F29"/>
    <w:rsid w:val="00660854"/>
    <w:rsid w:val="00661566"/>
    <w:rsid w:val="00661F22"/>
    <w:rsid w:val="00663590"/>
    <w:rsid w:val="00671D5F"/>
    <w:rsid w:val="0067414A"/>
    <w:rsid w:val="006803C3"/>
    <w:rsid w:val="00680E56"/>
    <w:rsid w:val="00682391"/>
    <w:rsid w:val="00683CF0"/>
    <w:rsid w:val="00685DDD"/>
    <w:rsid w:val="0068600B"/>
    <w:rsid w:val="0069137B"/>
    <w:rsid w:val="00692D4C"/>
    <w:rsid w:val="006952E1"/>
    <w:rsid w:val="006A0CF4"/>
    <w:rsid w:val="006B2580"/>
    <w:rsid w:val="006B38E1"/>
    <w:rsid w:val="006C1F67"/>
    <w:rsid w:val="006C74FB"/>
    <w:rsid w:val="006D18D5"/>
    <w:rsid w:val="006D22E2"/>
    <w:rsid w:val="006D34E8"/>
    <w:rsid w:val="006D6DC7"/>
    <w:rsid w:val="006D6E39"/>
    <w:rsid w:val="006E1EA8"/>
    <w:rsid w:val="006E6FBF"/>
    <w:rsid w:val="006F32FB"/>
    <w:rsid w:val="006F56D6"/>
    <w:rsid w:val="00702173"/>
    <w:rsid w:val="00702D51"/>
    <w:rsid w:val="0071230C"/>
    <w:rsid w:val="00712757"/>
    <w:rsid w:val="00713A8E"/>
    <w:rsid w:val="00720F82"/>
    <w:rsid w:val="00723648"/>
    <w:rsid w:val="00725181"/>
    <w:rsid w:val="0072671C"/>
    <w:rsid w:val="007271DB"/>
    <w:rsid w:val="007365F0"/>
    <w:rsid w:val="00742F08"/>
    <w:rsid w:val="00747510"/>
    <w:rsid w:val="00757211"/>
    <w:rsid w:val="00757940"/>
    <w:rsid w:val="00762C4B"/>
    <w:rsid w:val="00763062"/>
    <w:rsid w:val="00774147"/>
    <w:rsid w:val="00777EC0"/>
    <w:rsid w:val="00787611"/>
    <w:rsid w:val="00791065"/>
    <w:rsid w:val="00794D3F"/>
    <w:rsid w:val="007955F9"/>
    <w:rsid w:val="00796896"/>
    <w:rsid w:val="007A5EE4"/>
    <w:rsid w:val="007A6CD8"/>
    <w:rsid w:val="007A7E5D"/>
    <w:rsid w:val="007B0985"/>
    <w:rsid w:val="007B4633"/>
    <w:rsid w:val="007C53D7"/>
    <w:rsid w:val="007D6E8A"/>
    <w:rsid w:val="007D76F6"/>
    <w:rsid w:val="007E2F5D"/>
    <w:rsid w:val="007E3C5D"/>
    <w:rsid w:val="007F07CC"/>
    <w:rsid w:val="007F5B59"/>
    <w:rsid w:val="007F61E9"/>
    <w:rsid w:val="00801D54"/>
    <w:rsid w:val="00805364"/>
    <w:rsid w:val="00805A77"/>
    <w:rsid w:val="00806CA9"/>
    <w:rsid w:val="00807B0A"/>
    <w:rsid w:val="00810592"/>
    <w:rsid w:val="00823256"/>
    <w:rsid w:val="00835086"/>
    <w:rsid w:val="00840D73"/>
    <w:rsid w:val="00843239"/>
    <w:rsid w:val="0084325D"/>
    <w:rsid w:val="008437A5"/>
    <w:rsid w:val="008461E7"/>
    <w:rsid w:val="0084647B"/>
    <w:rsid w:val="00863E74"/>
    <w:rsid w:val="008764FB"/>
    <w:rsid w:val="00880FBF"/>
    <w:rsid w:val="008860B7"/>
    <w:rsid w:val="00887BAF"/>
    <w:rsid w:val="00890C2F"/>
    <w:rsid w:val="00892685"/>
    <w:rsid w:val="0089323D"/>
    <w:rsid w:val="00893C47"/>
    <w:rsid w:val="00894D6E"/>
    <w:rsid w:val="00897FBD"/>
    <w:rsid w:val="008A0032"/>
    <w:rsid w:val="008A11E9"/>
    <w:rsid w:val="008A1B6C"/>
    <w:rsid w:val="008A2888"/>
    <w:rsid w:val="008A7B15"/>
    <w:rsid w:val="008B2BDC"/>
    <w:rsid w:val="008B50FD"/>
    <w:rsid w:val="008B5999"/>
    <w:rsid w:val="008D1497"/>
    <w:rsid w:val="008E691A"/>
    <w:rsid w:val="008E7472"/>
    <w:rsid w:val="008F1B47"/>
    <w:rsid w:val="009001C9"/>
    <w:rsid w:val="00901737"/>
    <w:rsid w:val="009038BB"/>
    <w:rsid w:val="0090651F"/>
    <w:rsid w:val="00911315"/>
    <w:rsid w:val="009129B0"/>
    <w:rsid w:val="00914685"/>
    <w:rsid w:val="00924965"/>
    <w:rsid w:val="009372C9"/>
    <w:rsid w:val="00953A09"/>
    <w:rsid w:val="009564D2"/>
    <w:rsid w:val="009613CD"/>
    <w:rsid w:val="00963EEE"/>
    <w:rsid w:val="00972FBB"/>
    <w:rsid w:val="0097312A"/>
    <w:rsid w:val="00973CEB"/>
    <w:rsid w:val="0097455F"/>
    <w:rsid w:val="00975AE3"/>
    <w:rsid w:val="00982A6B"/>
    <w:rsid w:val="00982EDA"/>
    <w:rsid w:val="00986D45"/>
    <w:rsid w:val="00991F3D"/>
    <w:rsid w:val="00994AEF"/>
    <w:rsid w:val="009A1716"/>
    <w:rsid w:val="009A2729"/>
    <w:rsid w:val="009A5D26"/>
    <w:rsid w:val="009B58EB"/>
    <w:rsid w:val="009B6297"/>
    <w:rsid w:val="009C1699"/>
    <w:rsid w:val="009E14EA"/>
    <w:rsid w:val="009F6BAC"/>
    <w:rsid w:val="00A01991"/>
    <w:rsid w:val="00A04FE9"/>
    <w:rsid w:val="00A0622A"/>
    <w:rsid w:val="00A102FF"/>
    <w:rsid w:val="00A1743E"/>
    <w:rsid w:val="00A25D24"/>
    <w:rsid w:val="00A25E76"/>
    <w:rsid w:val="00A25F44"/>
    <w:rsid w:val="00A263ED"/>
    <w:rsid w:val="00A26DD4"/>
    <w:rsid w:val="00A33360"/>
    <w:rsid w:val="00A33BEE"/>
    <w:rsid w:val="00A35060"/>
    <w:rsid w:val="00A35C2B"/>
    <w:rsid w:val="00A3694F"/>
    <w:rsid w:val="00A440C8"/>
    <w:rsid w:val="00A46A48"/>
    <w:rsid w:val="00A47041"/>
    <w:rsid w:val="00A507DA"/>
    <w:rsid w:val="00A51E63"/>
    <w:rsid w:val="00A603AF"/>
    <w:rsid w:val="00A60AF8"/>
    <w:rsid w:val="00A632F0"/>
    <w:rsid w:val="00A6460A"/>
    <w:rsid w:val="00A6653A"/>
    <w:rsid w:val="00A70280"/>
    <w:rsid w:val="00A708F6"/>
    <w:rsid w:val="00A74FB5"/>
    <w:rsid w:val="00A81B4D"/>
    <w:rsid w:val="00A9027B"/>
    <w:rsid w:val="00A90B67"/>
    <w:rsid w:val="00A933AE"/>
    <w:rsid w:val="00A95245"/>
    <w:rsid w:val="00AA05F3"/>
    <w:rsid w:val="00AA3A83"/>
    <w:rsid w:val="00AB4334"/>
    <w:rsid w:val="00AB484A"/>
    <w:rsid w:val="00AB48F2"/>
    <w:rsid w:val="00AC18FB"/>
    <w:rsid w:val="00AE6780"/>
    <w:rsid w:val="00AF1DE0"/>
    <w:rsid w:val="00AF275E"/>
    <w:rsid w:val="00B01A72"/>
    <w:rsid w:val="00B02A61"/>
    <w:rsid w:val="00B05B59"/>
    <w:rsid w:val="00B111DB"/>
    <w:rsid w:val="00B170A6"/>
    <w:rsid w:val="00B2056B"/>
    <w:rsid w:val="00B21359"/>
    <w:rsid w:val="00B23562"/>
    <w:rsid w:val="00B31A59"/>
    <w:rsid w:val="00B445B6"/>
    <w:rsid w:val="00B515DC"/>
    <w:rsid w:val="00B559E7"/>
    <w:rsid w:val="00B65B11"/>
    <w:rsid w:val="00B743FC"/>
    <w:rsid w:val="00B85FCD"/>
    <w:rsid w:val="00B8648B"/>
    <w:rsid w:val="00B86849"/>
    <w:rsid w:val="00B95ABE"/>
    <w:rsid w:val="00BA0A3E"/>
    <w:rsid w:val="00BA1515"/>
    <w:rsid w:val="00BA51C2"/>
    <w:rsid w:val="00BA59D9"/>
    <w:rsid w:val="00BB0D3B"/>
    <w:rsid w:val="00BB3E95"/>
    <w:rsid w:val="00BB51D3"/>
    <w:rsid w:val="00BB6B6C"/>
    <w:rsid w:val="00BC18DE"/>
    <w:rsid w:val="00BD35A6"/>
    <w:rsid w:val="00BE11F6"/>
    <w:rsid w:val="00BE2942"/>
    <w:rsid w:val="00BE299D"/>
    <w:rsid w:val="00BE5235"/>
    <w:rsid w:val="00BF0059"/>
    <w:rsid w:val="00BF6C90"/>
    <w:rsid w:val="00C00B5B"/>
    <w:rsid w:val="00C015B5"/>
    <w:rsid w:val="00C02C5C"/>
    <w:rsid w:val="00C125AD"/>
    <w:rsid w:val="00C2148C"/>
    <w:rsid w:val="00C22A9C"/>
    <w:rsid w:val="00C24A76"/>
    <w:rsid w:val="00C25328"/>
    <w:rsid w:val="00C32F27"/>
    <w:rsid w:val="00C45A5F"/>
    <w:rsid w:val="00C46C8D"/>
    <w:rsid w:val="00C6030F"/>
    <w:rsid w:val="00C642D0"/>
    <w:rsid w:val="00C67D8C"/>
    <w:rsid w:val="00C702E1"/>
    <w:rsid w:val="00C73D75"/>
    <w:rsid w:val="00C80E0F"/>
    <w:rsid w:val="00C83C44"/>
    <w:rsid w:val="00C84F82"/>
    <w:rsid w:val="00C91BA4"/>
    <w:rsid w:val="00C935BB"/>
    <w:rsid w:val="00CA472E"/>
    <w:rsid w:val="00CA663F"/>
    <w:rsid w:val="00CA71A9"/>
    <w:rsid w:val="00CA7BF9"/>
    <w:rsid w:val="00CB0263"/>
    <w:rsid w:val="00CB1123"/>
    <w:rsid w:val="00CB3DFC"/>
    <w:rsid w:val="00CB65CF"/>
    <w:rsid w:val="00CC3987"/>
    <w:rsid w:val="00CD2966"/>
    <w:rsid w:val="00CD6101"/>
    <w:rsid w:val="00CD759F"/>
    <w:rsid w:val="00D00716"/>
    <w:rsid w:val="00D06270"/>
    <w:rsid w:val="00D07658"/>
    <w:rsid w:val="00D07A68"/>
    <w:rsid w:val="00D11219"/>
    <w:rsid w:val="00D1196A"/>
    <w:rsid w:val="00D149D6"/>
    <w:rsid w:val="00D15CCA"/>
    <w:rsid w:val="00D15EB0"/>
    <w:rsid w:val="00D21B24"/>
    <w:rsid w:val="00D32EC4"/>
    <w:rsid w:val="00D36792"/>
    <w:rsid w:val="00D36DC6"/>
    <w:rsid w:val="00D42761"/>
    <w:rsid w:val="00D4715E"/>
    <w:rsid w:val="00D51048"/>
    <w:rsid w:val="00D544CF"/>
    <w:rsid w:val="00D565B0"/>
    <w:rsid w:val="00D56CED"/>
    <w:rsid w:val="00D57F12"/>
    <w:rsid w:val="00D604D7"/>
    <w:rsid w:val="00D63C00"/>
    <w:rsid w:val="00D70CE1"/>
    <w:rsid w:val="00D7102E"/>
    <w:rsid w:val="00D72EB1"/>
    <w:rsid w:val="00D74863"/>
    <w:rsid w:val="00D754D3"/>
    <w:rsid w:val="00D817FC"/>
    <w:rsid w:val="00D922B2"/>
    <w:rsid w:val="00D94C80"/>
    <w:rsid w:val="00DA1CE7"/>
    <w:rsid w:val="00DA3CAD"/>
    <w:rsid w:val="00DA5207"/>
    <w:rsid w:val="00DB23D3"/>
    <w:rsid w:val="00DB34CD"/>
    <w:rsid w:val="00DB5A12"/>
    <w:rsid w:val="00DC2756"/>
    <w:rsid w:val="00DC6ACF"/>
    <w:rsid w:val="00DC6EE9"/>
    <w:rsid w:val="00DD410E"/>
    <w:rsid w:val="00DE220E"/>
    <w:rsid w:val="00DE420C"/>
    <w:rsid w:val="00DE5560"/>
    <w:rsid w:val="00DE7FCE"/>
    <w:rsid w:val="00DF1909"/>
    <w:rsid w:val="00DF7F0B"/>
    <w:rsid w:val="00E00A09"/>
    <w:rsid w:val="00E02BAF"/>
    <w:rsid w:val="00E06C29"/>
    <w:rsid w:val="00E156B3"/>
    <w:rsid w:val="00E1799C"/>
    <w:rsid w:val="00E25B35"/>
    <w:rsid w:val="00E276B1"/>
    <w:rsid w:val="00E31D31"/>
    <w:rsid w:val="00E325CF"/>
    <w:rsid w:val="00E3491E"/>
    <w:rsid w:val="00E3553E"/>
    <w:rsid w:val="00E35A34"/>
    <w:rsid w:val="00E40094"/>
    <w:rsid w:val="00E4302A"/>
    <w:rsid w:val="00E47B59"/>
    <w:rsid w:val="00E54AE9"/>
    <w:rsid w:val="00E55553"/>
    <w:rsid w:val="00E647C8"/>
    <w:rsid w:val="00E8142B"/>
    <w:rsid w:val="00E858D2"/>
    <w:rsid w:val="00E90849"/>
    <w:rsid w:val="00EA1CEA"/>
    <w:rsid w:val="00EA2EFF"/>
    <w:rsid w:val="00EA3D16"/>
    <w:rsid w:val="00EA789C"/>
    <w:rsid w:val="00EB061B"/>
    <w:rsid w:val="00EB3DB7"/>
    <w:rsid w:val="00EC01DA"/>
    <w:rsid w:val="00EC1D18"/>
    <w:rsid w:val="00EE1E83"/>
    <w:rsid w:val="00EE6434"/>
    <w:rsid w:val="00EF3BD7"/>
    <w:rsid w:val="00F021EB"/>
    <w:rsid w:val="00F030A5"/>
    <w:rsid w:val="00F1338F"/>
    <w:rsid w:val="00F15BC3"/>
    <w:rsid w:val="00F17606"/>
    <w:rsid w:val="00F22F11"/>
    <w:rsid w:val="00F23C29"/>
    <w:rsid w:val="00F307D8"/>
    <w:rsid w:val="00F31025"/>
    <w:rsid w:val="00F339AC"/>
    <w:rsid w:val="00F3468A"/>
    <w:rsid w:val="00F3633A"/>
    <w:rsid w:val="00F43AF5"/>
    <w:rsid w:val="00F43C85"/>
    <w:rsid w:val="00F455B7"/>
    <w:rsid w:val="00F47040"/>
    <w:rsid w:val="00F47566"/>
    <w:rsid w:val="00F50545"/>
    <w:rsid w:val="00F51B88"/>
    <w:rsid w:val="00F53BD1"/>
    <w:rsid w:val="00F53BF0"/>
    <w:rsid w:val="00F564C6"/>
    <w:rsid w:val="00F56B3B"/>
    <w:rsid w:val="00F647ED"/>
    <w:rsid w:val="00F81709"/>
    <w:rsid w:val="00F875D3"/>
    <w:rsid w:val="00FA59A4"/>
    <w:rsid w:val="00FB14B7"/>
    <w:rsid w:val="00FB72A7"/>
    <w:rsid w:val="00FC7634"/>
    <w:rsid w:val="00FD480F"/>
    <w:rsid w:val="00FD5172"/>
    <w:rsid w:val="00FE190B"/>
    <w:rsid w:val="00FE7F6B"/>
    <w:rsid w:val="00FF4D33"/>
    <w:rsid w:val="00FF662B"/>
    <w:rsid w:val="00FF7318"/>
    <w:rsid w:val="027DCD0D"/>
    <w:rsid w:val="076FC889"/>
    <w:rsid w:val="07991BC7"/>
    <w:rsid w:val="0B376FB0"/>
    <w:rsid w:val="0C427429"/>
    <w:rsid w:val="0EB793E6"/>
    <w:rsid w:val="0EFF1A06"/>
    <w:rsid w:val="0F7F7E25"/>
    <w:rsid w:val="0FF319C4"/>
    <w:rsid w:val="0FFB09BA"/>
    <w:rsid w:val="15565577"/>
    <w:rsid w:val="15BFB359"/>
    <w:rsid w:val="15FFD89B"/>
    <w:rsid w:val="171F1CAB"/>
    <w:rsid w:val="17E7D36B"/>
    <w:rsid w:val="1AF719FD"/>
    <w:rsid w:val="1BBF098E"/>
    <w:rsid w:val="1CFD7975"/>
    <w:rsid w:val="1D6B2F14"/>
    <w:rsid w:val="1D9F90D3"/>
    <w:rsid w:val="1ED679AF"/>
    <w:rsid w:val="1EDD46C9"/>
    <w:rsid w:val="1EEF051F"/>
    <w:rsid w:val="1EF623EF"/>
    <w:rsid w:val="1F2D7D8C"/>
    <w:rsid w:val="1F7EA170"/>
    <w:rsid w:val="1F7F30E4"/>
    <w:rsid w:val="1F95C36D"/>
    <w:rsid w:val="1FBA1BA8"/>
    <w:rsid w:val="1FDE6CF1"/>
    <w:rsid w:val="1FEF00C4"/>
    <w:rsid w:val="1FEF204E"/>
    <w:rsid w:val="1FFEE171"/>
    <w:rsid w:val="229F2792"/>
    <w:rsid w:val="25F7FDE1"/>
    <w:rsid w:val="26EBE43A"/>
    <w:rsid w:val="276727FC"/>
    <w:rsid w:val="277FF9F8"/>
    <w:rsid w:val="27EF214B"/>
    <w:rsid w:val="27FFB784"/>
    <w:rsid w:val="2AEEE606"/>
    <w:rsid w:val="2BA5FF0C"/>
    <w:rsid w:val="2BFBF85A"/>
    <w:rsid w:val="2D73114E"/>
    <w:rsid w:val="2F7DF21A"/>
    <w:rsid w:val="2F7F3F5B"/>
    <w:rsid w:val="2F981C7C"/>
    <w:rsid w:val="2FDB15F6"/>
    <w:rsid w:val="2FFFC121"/>
    <w:rsid w:val="30210B54"/>
    <w:rsid w:val="31E77B7C"/>
    <w:rsid w:val="32475F3D"/>
    <w:rsid w:val="32ED93A4"/>
    <w:rsid w:val="334FED3A"/>
    <w:rsid w:val="33FFB4D9"/>
    <w:rsid w:val="35F98ACF"/>
    <w:rsid w:val="367B859A"/>
    <w:rsid w:val="36FA36A8"/>
    <w:rsid w:val="373FE758"/>
    <w:rsid w:val="3779CAF0"/>
    <w:rsid w:val="379F8A53"/>
    <w:rsid w:val="37EFF2A7"/>
    <w:rsid w:val="37F2DECA"/>
    <w:rsid w:val="396F9D9E"/>
    <w:rsid w:val="39FFFB1B"/>
    <w:rsid w:val="3AA84F10"/>
    <w:rsid w:val="3B1FB013"/>
    <w:rsid w:val="3B3B4C79"/>
    <w:rsid w:val="3B9F1B8C"/>
    <w:rsid w:val="3BBF042E"/>
    <w:rsid w:val="3BC34A1A"/>
    <w:rsid w:val="3BD3FCC2"/>
    <w:rsid w:val="3BEF6B40"/>
    <w:rsid w:val="3BF74413"/>
    <w:rsid w:val="3BFD93B6"/>
    <w:rsid w:val="3CFF2F28"/>
    <w:rsid w:val="3D739E5C"/>
    <w:rsid w:val="3D7F7ADE"/>
    <w:rsid w:val="3DBDF2A9"/>
    <w:rsid w:val="3DBF5B6E"/>
    <w:rsid w:val="3DBFB7B9"/>
    <w:rsid w:val="3DF155D7"/>
    <w:rsid w:val="3DF60A85"/>
    <w:rsid w:val="3E7FA369"/>
    <w:rsid w:val="3E9F2BD4"/>
    <w:rsid w:val="3EC77FA9"/>
    <w:rsid w:val="3ED73BBC"/>
    <w:rsid w:val="3EFB43CA"/>
    <w:rsid w:val="3F4751F1"/>
    <w:rsid w:val="3F765349"/>
    <w:rsid w:val="3F7F4E3D"/>
    <w:rsid w:val="3F9CE852"/>
    <w:rsid w:val="3FB5D1F6"/>
    <w:rsid w:val="3FBD1B66"/>
    <w:rsid w:val="3FBFC484"/>
    <w:rsid w:val="3FBFCDEC"/>
    <w:rsid w:val="3FD30484"/>
    <w:rsid w:val="3FD81C1B"/>
    <w:rsid w:val="3FDD52A0"/>
    <w:rsid w:val="3FE5D989"/>
    <w:rsid w:val="3FE7E924"/>
    <w:rsid w:val="3FEAA8A7"/>
    <w:rsid w:val="3FEBF638"/>
    <w:rsid w:val="3FF1E0E5"/>
    <w:rsid w:val="3FF3A2A1"/>
    <w:rsid w:val="3FF7DC48"/>
    <w:rsid w:val="3FFD601F"/>
    <w:rsid w:val="3FFDBFB5"/>
    <w:rsid w:val="41D5D0E5"/>
    <w:rsid w:val="45DF0587"/>
    <w:rsid w:val="4AFDBB0A"/>
    <w:rsid w:val="4BECF2D0"/>
    <w:rsid w:val="4C0A37D6"/>
    <w:rsid w:val="4C1EACBB"/>
    <w:rsid w:val="4DF307E4"/>
    <w:rsid w:val="4DFB745E"/>
    <w:rsid w:val="4DFFCBCA"/>
    <w:rsid w:val="4E3F9D0D"/>
    <w:rsid w:val="4EFF6FB8"/>
    <w:rsid w:val="4F77CD14"/>
    <w:rsid w:val="4F8E7A52"/>
    <w:rsid w:val="4FC3153D"/>
    <w:rsid w:val="4FC70F46"/>
    <w:rsid w:val="4FDFC53C"/>
    <w:rsid w:val="4FF9E649"/>
    <w:rsid w:val="4FFE14B2"/>
    <w:rsid w:val="4FFF9E4A"/>
    <w:rsid w:val="53B7C5D6"/>
    <w:rsid w:val="53BBDB8D"/>
    <w:rsid w:val="53CE4DEF"/>
    <w:rsid w:val="544E589E"/>
    <w:rsid w:val="54DE2AD8"/>
    <w:rsid w:val="55FA9943"/>
    <w:rsid w:val="570FFC8C"/>
    <w:rsid w:val="571D076D"/>
    <w:rsid w:val="576F5697"/>
    <w:rsid w:val="57DD386F"/>
    <w:rsid w:val="57F74C72"/>
    <w:rsid w:val="57FE8714"/>
    <w:rsid w:val="59F905D9"/>
    <w:rsid w:val="59FFDEAD"/>
    <w:rsid w:val="5A9B6788"/>
    <w:rsid w:val="5AE7568E"/>
    <w:rsid w:val="5BBEF3B3"/>
    <w:rsid w:val="5BEF2D1B"/>
    <w:rsid w:val="5BF39239"/>
    <w:rsid w:val="5BF5085B"/>
    <w:rsid w:val="5BFE2F8B"/>
    <w:rsid w:val="5BFEC7FC"/>
    <w:rsid w:val="5CBF7A26"/>
    <w:rsid w:val="5CE97779"/>
    <w:rsid w:val="5D636AA4"/>
    <w:rsid w:val="5D7D6D6D"/>
    <w:rsid w:val="5D996EDC"/>
    <w:rsid w:val="5DA758E2"/>
    <w:rsid w:val="5DAF87B0"/>
    <w:rsid w:val="5DBA5DD6"/>
    <w:rsid w:val="5DBBAB8F"/>
    <w:rsid w:val="5DD79CB7"/>
    <w:rsid w:val="5E5EEA3C"/>
    <w:rsid w:val="5E6BA748"/>
    <w:rsid w:val="5E6FD782"/>
    <w:rsid w:val="5E7A523C"/>
    <w:rsid w:val="5EBFC0C2"/>
    <w:rsid w:val="5EEB8C5B"/>
    <w:rsid w:val="5EF34EC0"/>
    <w:rsid w:val="5EFB3FBA"/>
    <w:rsid w:val="5EFF2D3F"/>
    <w:rsid w:val="5EFF36ED"/>
    <w:rsid w:val="5EFF72EE"/>
    <w:rsid w:val="5F34B49E"/>
    <w:rsid w:val="5F37D3E4"/>
    <w:rsid w:val="5F5F4FB6"/>
    <w:rsid w:val="5F674B16"/>
    <w:rsid w:val="5F73DAB4"/>
    <w:rsid w:val="5F750BA5"/>
    <w:rsid w:val="5F7525AC"/>
    <w:rsid w:val="5F77BF45"/>
    <w:rsid w:val="5F7B7427"/>
    <w:rsid w:val="5F7C33E6"/>
    <w:rsid w:val="5F9C092E"/>
    <w:rsid w:val="5FA66B20"/>
    <w:rsid w:val="5FAF5D33"/>
    <w:rsid w:val="5FB72971"/>
    <w:rsid w:val="5FD7D286"/>
    <w:rsid w:val="5FDB33DE"/>
    <w:rsid w:val="5FE79ADB"/>
    <w:rsid w:val="5FEB3751"/>
    <w:rsid w:val="5FED5B5F"/>
    <w:rsid w:val="5FEDA170"/>
    <w:rsid w:val="5FEE15A7"/>
    <w:rsid w:val="5FEF5BC0"/>
    <w:rsid w:val="5FEF88D4"/>
    <w:rsid w:val="5FEFD02E"/>
    <w:rsid w:val="5FF7D434"/>
    <w:rsid w:val="5FF91D94"/>
    <w:rsid w:val="5FFAB295"/>
    <w:rsid w:val="5FFBEB6D"/>
    <w:rsid w:val="5FFC4D8C"/>
    <w:rsid w:val="5FFF3ED8"/>
    <w:rsid w:val="5FFFB4A9"/>
    <w:rsid w:val="5FFFD5A8"/>
    <w:rsid w:val="60CF6D25"/>
    <w:rsid w:val="6377E5A5"/>
    <w:rsid w:val="643DB0EB"/>
    <w:rsid w:val="65DF2180"/>
    <w:rsid w:val="65FFF175"/>
    <w:rsid w:val="66DA3DF4"/>
    <w:rsid w:val="66DF2591"/>
    <w:rsid w:val="674EF9DD"/>
    <w:rsid w:val="67F6648C"/>
    <w:rsid w:val="68F8A320"/>
    <w:rsid w:val="697B9E70"/>
    <w:rsid w:val="6A9B9D7B"/>
    <w:rsid w:val="6ADF6415"/>
    <w:rsid w:val="6AF7E213"/>
    <w:rsid w:val="6B7F7700"/>
    <w:rsid w:val="6B8ACB19"/>
    <w:rsid w:val="6BAB331D"/>
    <w:rsid w:val="6BC73BA6"/>
    <w:rsid w:val="6BDEC05F"/>
    <w:rsid w:val="6BFADA8F"/>
    <w:rsid w:val="6BFBEDA0"/>
    <w:rsid w:val="6D7F36FB"/>
    <w:rsid w:val="6DAF8C21"/>
    <w:rsid w:val="6DDBE403"/>
    <w:rsid w:val="6DDDD4A6"/>
    <w:rsid w:val="6DF6639A"/>
    <w:rsid w:val="6DF74960"/>
    <w:rsid w:val="6DFDFAD0"/>
    <w:rsid w:val="6DFE43E2"/>
    <w:rsid w:val="6DFFC428"/>
    <w:rsid w:val="6E456904"/>
    <w:rsid w:val="6E5B7EF8"/>
    <w:rsid w:val="6E7E6E47"/>
    <w:rsid w:val="6E7F6794"/>
    <w:rsid w:val="6E7FCDF4"/>
    <w:rsid w:val="6EA93047"/>
    <w:rsid w:val="6EC65A78"/>
    <w:rsid w:val="6EEB487D"/>
    <w:rsid w:val="6EF97A2A"/>
    <w:rsid w:val="6EFFBDEE"/>
    <w:rsid w:val="6F3B5C58"/>
    <w:rsid w:val="6F4DE907"/>
    <w:rsid w:val="6F75C195"/>
    <w:rsid w:val="6F798703"/>
    <w:rsid w:val="6F7D87E6"/>
    <w:rsid w:val="6F7E0747"/>
    <w:rsid w:val="6F7E23F1"/>
    <w:rsid w:val="6F932387"/>
    <w:rsid w:val="6F9EE431"/>
    <w:rsid w:val="6FAB9EDC"/>
    <w:rsid w:val="6FBD30A6"/>
    <w:rsid w:val="6FBF4460"/>
    <w:rsid w:val="6FBFAA3F"/>
    <w:rsid w:val="6FDF059A"/>
    <w:rsid w:val="6FEB42D4"/>
    <w:rsid w:val="6FEFE785"/>
    <w:rsid w:val="6FF75549"/>
    <w:rsid w:val="6FFCB97F"/>
    <w:rsid w:val="6FFE6E44"/>
    <w:rsid w:val="6FFF36A2"/>
    <w:rsid w:val="6FFFE611"/>
    <w:rsid w:val="71F707DF"/>
    <w:rsid w:val="71FA5EB5"/>
    <w:rsid w:val="735544DF"/>
    <w:rsid w:val="7377FD7E"/>
    <w:rsid w:val="73CF9707"/>
    <w:rsid w:val="73DFE02C"/>
    <w:rsid w:val="73DFFBA8"/>
    <w:rsid w:val="73E37214"/>
    <w:rsid w:val="73F6F6C1"/>
    <w:rsid w:val="73F7E1EE"/>
    <w:rsid w:val="747F9E0B"/>
    <w:rsid w:val="757FDD60"/>
    <w:rsid w:val="75AE3028"/>
    <w:rsid w:val="75EB5634"/>
    <w:rsid w:val="75F74802"/>
    <w:rsid w:val="75FB813D"/>
    <w:rsid w:val="75FBE53C"/>
    <w:rsid w:val="76719DB3"/>
    <w:rsid w:val="769FC1C9"/>
    <w:rsid w:val="76CF1766"/>
    <w:rsid w:val="76DD8BA6"/>
    <w:rsid w:val="76E78A85"/>
    <w:rsid w:val="76F3259C"/>
    <w:rsid w:val="76F77C23"/>
    <w:rsid w:val="76F7B9EB"/>
    <w:rsid w:val="76FF641B"/>
    <w:rsid w:val="77073A13"/>
    <w:rsid w:val="774F78B3"/>
    <w:rsid w:val="775A55BB"/>
    <w:rsid w:val="77696623"/>
    <w:rsid w:val="777F124F"/>
    <w:rsid w:val="77AF45B9"/>
    <w:rsid w:val="77B7B2EA"/>
    <w:rsid w:val="77BB7D5D"/>
    <w:rsid w:val="77BF1B7A"/>
    <w:rsid w:val="77BF448E"/>
    <w:rsid w:val="77BF6679"/>
    <w:rsid w:val="77DB62D6"/>
    <w:rsid w:val="77E73CAB"/>
    <w:rsid w:val="77ED31D8"/>
    <w:rsid w:val="77ED8FF0"/>
    <w:rsid w:val="77EE51BE"/>
    <w:rsid w:val="77FB51E4"/>
    <w:rsid w:val="77FE1EE2"/>
    <w:rsid w:val="78BFA003"/>
    <w:rsid w:val="78E83FFB"/>
    <w:rsid w:val="78FF50B7"/>
    <w:rsid w:val="78FFF1A8"/>
    <w:rsid w:val="794F095F"/>
    <w:rsid w:val="79674132"/>
    <w:rsid w:val="79A7D6FB"/>
    <w:rsid w:val="79BB60CB"/>
    <w:rsid w:val="79FB3DD6"/>
    <w:rsid w:val="79FF1CD9"/>
    <w:rsid w:val="7A37D293"/>
    <w:rsid w:val="7A39830F"/>
    <w:rsid w:val="7A3F4ABB"/>
    <w:rsid w:val="7A622060"/>
    <w:rsid w:val="7AE4E0AB"/>
    <w:rsid w:val="7AFF97E5"/>
    <w:rsid w:val="7B3F3009"/>
    <w:rsid w:val="7B4734CA"/>
    <w:rsid w:val="7B72F3A8"/>
    <w:rsid w:val="7B7B634E"/>
    <w:rsid w:val="7B7DDD12"/>
    <w:rsid w:val="7B7FDE29"/>
    <w:rsid w:val="7B7FE279"/>
    <w:rsid w:val="7B8D744A"/>
    <w:rsid w:val="7B97346E"/>
    <w:rsid w:val="7BBFFEF0"/>
    <w:rsid w:val="7BCB3E7D"/>
    <w:rsid w:val="7BD794D8"/>
    <w:rsid w:val="7BEA2484"/>
    <w:rsid w:val="7BF6642D"/>
    <w:rsid w:val="7BF71468"/>
    <w:rsid w:val="7BFBAB50"/>
    <w:rsid w:val="7BFD20C9"/>
    <w:rsid w:val="7BFD82DB"/>
    <w:rsid w:val="7BFDD680"/>
    <w:rsid w:val="7BFE5028"/>
    <w:rsid w:val="7BFF64D1"/>
    <w:rsid w:val="7C18D58E"/>
    <w:rsid w:val="7C6543F0"/>
    <w:rsid w:val="7CED579B"/>
    <w:rsid w:val="7CFBDB28"/>
    <w:rsid w:val="7D39073F"/>
    <w:rsid w:val="7D3ECF70"/>
    <w:rsid w:val="7D4C31A0"/>
    <w:rsid w:val="7D6570D4"/>
    <w:rsid w:val="7D7A521D"/>
    <w:rsid w:val="7D7B95C7"/>
    <w:rsid w:val="7D7DCC9F"/>
    <w:rsid w:val="7D8D510F"/>
    <w:rsid w:val="7DAF92B4"/>
    <w:rsid w:val="7DAFC0B0"/>
    <w:rsid w:val="7DBF196C"/>
    <w:rsid w:val="7DD77BF6"/>
    <w:rsid w:val="7DDE94B1"/>
    <w:rsid w:val="7DF74BFD"/>
    <w:rsid w:val="7DF7F3A8"/>
    <w:rsid w:val="7DFFD90D"/>
    <w:rsid w:val="7E3F39D9"/>
    <w:rsid w:val="7E55456B"/>
    <w:rsid w:val="7E73734D"/>
    <w:rsid w:val="7E7F034F"/>
    <w:rsid w:val="7E7FC6F6"/>
    <w:rsid w:val="7EB73A2E"/>
    <w:rsid w:val="7EB76A4B"/>
    <w:rsid w:val="7EBD8018"/>
    <w:rsid w:val="7EBFC535"/>
    <w:rsid w:val="7ECD3EA7"/>
    <w:rsid w:val="7EDA40F0"/>
    <w:rsid w:val="7EDD1A47"/>
    <w:rsid w:val="7EEA634D"/>
    <w:rsid w:val="7EF71733"/>
    <w:rsid w:val="7EFB5FC3"/>
    <w:rsid w:val="7EFD760A"/>
    <w:rsid w:val="7EFDF89F"/>
    <w:rsid w:val="7EFEF1C1"/>
    <w:rsid w:val="7F3EFB4E"/>
    <w:rsid w:val="7F573C60"/>
    <w:rsid w:val="7F6EA264"/>
    <w:rsid w:val="7F74593F"/>
    <w:rsid w:val="7F7CD43E"/>
    <w:rsid w:val="7F7D2527"/>
    <w:rsid w:val="7F7FE7BD"/>
    <w:rsid w:val="7F8F2965"/>
    <w:rsid w:val="7F9F7C3E"/>
    <w:rsid w:val="7F9FCC3A"/>
    <w:rsid w:val="7FB50922"/>
    <w:rsid w:val="7FB70F59"/>
    <w:rsid w:val="7FBBABD8"/>
    <w:rsid w:val="7FBD94A7"/>
    <w:rsid w:val="7FBFFBE8"/>
    <w:rsid w:val="7FCD0D4D"/>
    <w:rsid w:val="7FD244F4"/>
    <w:rsid w:val="7FDA3455"/>
    <w:rsid w:val="7FDBB380"/>
    <w:rsid w:val="7FDD9AED"/>
    <w:rsid w:val="7FDE3CFA"/>
    <w:rsid w:val="7FDF2121"/>
    <w:rsid w:val="7FDF6074"/>
    <w:rsid w:val="7FDF6AF8"/>
    <w:rsid w:val="7FDF7331"/>
    <w:rsid w:val="7FEC5B1B"/>
    <w:rsid w:val="7FEC90FE"/>
    <w:rsid w:val="7FEED244"/>
    <w:rsid w:val="7FEF047A"/>
    <w:rsid w:val="7FEF5026"/>
    <w:rsid w:val="7FEF5E2B"/>
    <w:rsid w:val="7FF17867"/>
    <w:rsid w:val="7FF1E36D"/>
    <w:rsid w:val="7FF31137"/>
    <w:rsid w:val="7FF5F062"/>
    <w:rsid w:val="7FF70CFB"/>
    <w:rsid w:val="7FF9708E"/>
    <w:rsid w:val="7FF9F30A"/>
    <w:rsid w:val="7FFA22A8"/>
    <w:rsid w:val="7FFAFA18"/>
    <w:rsid w:val="7FFB1DBF"/>
    <w:rsid w:val="7FFB21CC"/>
    <w:rsid w:val="7FFB9C21"/>
    <w:rsid w:val="7FFD7900"/>
    <w:rsid w:val="7FFDB10C"/>
    <w:rsid w:val="7FFE3122"/>
    <w:rsid w:val="7FFE62C5"/>
    <w:rsid w:val="7FFECEE7"/>
    <w:rsid w:val="7FFF1207"/>
    <w:rsid w:val="7FFF30E6"/>
    <w:rsid w:val="7FFF3661"/>
    <w:rsid w:val="7FFF4946"/>
    <w:rsid w:val="7FFF8A73"/>
    <w:rsid w:val="7FFFE0D1"/>
    <w:rsid w:val="827F1E74"/>
    <w:rsid w:val="88DBDF90"/>
    <w:rsid w:val="8DFADAF2"/>
    <w:rsid w:val="8EFB372B"/>
    <w:rsid w:val="8F7D5DF8"/>
    <w:rsid w:val="937A9711"/>
    <w:rsid w:val="957DA239"/>
    <w:rsid w:val="97195FDF"/>
    <w:rsid w:val="99EC2C0F"/>
    <w:rsid w:val="9AFFC2AF"/>
    <w:rsid w:val="9BF62D6D"/>
    <w:rsid w:val="9BF75A99"/>
    <w:rsid w:val="9DBFAAA5"/>
    <w:rsid w:val="9DDE628E"/>
    <w:rsid w:val="9DDFB6C3"/>
    <w:rsid w:val="9DFF0499"/>
    <w:rsid w:val="9ECE6DCB"/>
    <w:rsid w:val="9EFF9FD3"/>
    <w:rsid w:val="9F9F1BE0"/>
    <w:rsid w:val="9F9F4F59"/>
    <w:rsid w:val="9FB7F238"/>
    <w:rsid w:val="9FBF17D8"/>
    <w:rsid w:val="9FBF924D"/>
    <w:rsid w:val="9FF3EB4E"/>
    <w:rsid w:val="9FFFD726"/>
    <w:rsid w:val="A36F357B"/>
    <w:rsid w:val="A3F8A477"/>
    <w:rsid w:val="A7FF3EF9"/>
    <w:rsid w:val="A9DE8AB8"/>
    <w:rsid w:val="A9FF109F"/>
    <w:rsid w:val="AB7BE5A5"/>
    <w:rsid w:val="ABFF2D72"/>
    <w:rsid w:val="AC5A6C7A"/>
    <w:rsid w:val="ACFF1C3E"/>
    <w:rsid w:val="AD5F69C4"/>
    <w:rsid w:val="ADDDD706"/>
    <w:rsid w:val="ADDF55E2"/>
    <w:rsid w:val="ADE7C291"/>
    <w:rsid w:val="AEBF877F"/>
    <w:rsid w:val="AEEB7B3F"/>
    <w:rsid w:val="AEFE0D40"/>
    <w:rsid w:val="AF7E456E"/>
    <w:rsid w:val="AFABA4BA"/>
    <w:rsid w:val="AFBD1804"/>
    <w:rsid w:val="AFEF3ABE"/>
    <w:rsid w:val="AFFD78ED"/>
    <w:rsid w:val="AFFE88CD"/>
    <w:rsid w:val="AFFF2229"/>
    <w:rsid w:val="B1F8449F"/>
    <w:rsid w:val="B2FFA3A7"/>
    <w:rsid w:val="B3750C46"/>
    <w:rsid w:val="B3FD0AEF"/>
    <w:rsid w:val="B4F7ECD4"/>
    <w:rsid w:val="B4FCE3BC"/>
    <w:rsid w:val="B5DD60AD"/>
    <w:rsid w:val="B5F20B46"/>
    <w:rsid w:val="B5FCF879"/>
    <w:rsid w:val="B7CE171C"/>
    <w:rsid w:val="B7E40153"/>
    <w:rsid w:val="B7EC48D2"/>
    <w:rsid w:val="B8D722E9"/>
    <w:rsid w:val="B907A047"/>
    <w:rsid w:val="B9BF6C75"/>
    <w:rsid w:val="BAFB4FAD"/>
    <w:rsid w:val="BB2E4FAE"/>
    <w:rsid w:val="BB3D54A9"/>
    <w:rsid w:val="BB4D20E8"/>
    <w:rsid w:val="BBD6F0C9"/>
    <w:rsid w:val="BBDE73E7"/>
    <w:rsid w:val="BBF38EE5"/>
    <w:rsid w:val="BBF652A2"/>
    <w:rsid w:val="BBF6B409"/>
    <w:rsid w:val="BBF94FB0"/>
    <w:rsid w:val="BCFCACE3"/>
    <w:rsid w:val="BCFF7F63"/>
    <w:rsid w:val="BD900F0A"/>
    <w:rsid w:val="BDBFC678"/>
    <w:rsid w:val="BDE55F87"/>
    <w:rsid w:val="BDFA1084"/>
    <w:rsid w:val="BDFFA3CE"/>
    <w:rsid w:val="BEAFED7A"/>
    <w:rsid w:val="BEDCAA4E"/>
    <w:rsid w:val="BEDD5F73"/>
    <w:rsid w:val="BEFA1570"/>
    <w:rsid w:val="BEFB8EC2"/>
    <w:rsid w:val="BF7BF1F5"/>
    <w:rsid w:val="BF7D0A8C"/>
    <w:rsid w:val="BF7F52C1"/>
    <w:rsid w:val="BF7F5EB4"/>
    <w:rsid w:val="BF7FDF3E"/>
    <w:rsid w:val="BF961A42"/>
    <w:rsid w:val="BF9F18BA"/>
    <w:rsid w:val="BFB75225"/>
    <w:rsid w:val="BFBFCB6E"/>
    <w:rsid w:val="BFD6D26D"/>
    <w:rsid w:val="BFEBC2F0"/>
    <w:rsid w:val="BFF7EC49"/>
    <w:rsid w:val="BFFC4BE6"/>
    <w:rsid w:val="BFFF2033"/>
    <w:rsid w:val="BFFF2DCE"/>
    <w:rsid w:val="BFFF310E"/>
    <w:rsid w:val="BFFF6AB2"/>
    <w:rsid w:val="BFFF89C1"/>
    <w:rsid w:val="C3DE9D94"/>
    <w:rsid w:val="C7779308"/>
    <w:rsid w:val="C7FBC91F"/>
    <w:rsid w:val="C7FFED37"/>
    <w:rsid w:val="CBCF7081"/>
    <w:rsid w:val="CBFB92D2"/>
    <w:rsid w:val="CBFD6D76"/>
    <w:rsid w:val="CC7F9EAE"/>
    <w:rsid w:val="CD3267A0"/>
    <w:rsid w:val="CDE7D41F"/>
    <w:rsid w:val="CDF63AD9"/>
    <w:rsid w:val="CE77D805"/>
    <w:rsid w:val="CF3E4244"/>
    <w:rsid w:val="CF7F7156"/>
    <w:rsid w:val="CFB5B612"/>
    <w:rsid w:val="CFBB9055"/>
    <w:rsid w:val="CFBFA984"/>
    <w:rsid w:val="CFDF4479"/>
    <w:rsid w:val="CFDF9D2B"/>
    <w:rsid w:val="CFEAFD75"/>
    <w:rsid w:val="CFFF59A3"/>
    <w:rsid w:val="CFFF859C"/>
    <w:rsid w:val="D0BE6364"/>
    <w:rsid w:val="D27BA388"/>
    <w:rsid w:val="D29BC428"/>
    <w:rsid w:val="D56BAC93"/>
    <w:rsid w:val="D57F708A"/>
    <w:rsid w:val="D5FC2078"/>
    <w:rsid w:val="D6778E23"/>
    <w:rsid w:val="D6EB49C7"/>
    <w:rsid w:val="D7ABEEA1"/>
    <w:rsid w:val="D7B6CCB8"/>
    <w:rsid w:val="D7B70ACF"/>
    <w:rsid w:val="D7D64DBE"/>
    <w:rsid w:val="D7D79E25"/>
    <w:rsid w:val="D7E55636"/>
    <w:rsid w:val="D7ED3FB3"/>
    <w:rsid w:val="D7FD03ED"/>
    <w:rsid w:val="D7FF9C94"/>
    <w:rsid w:val="D7FFB111"/>
    <w:rsid w:val="D96B36E0"/>
    <w:rsid w:val="DA26D529"/>
    <w:rsid w:val="DAF87A2F"/>
    <w:rsid w:val="DAFB3F27"/>
    <w:rsid w:val="DB167DC8"/>
    <w:rsid w:val="DB5FDEBC"/>
    <w:rsid w:val="DB7E191D"/>
    <w:rsid w:val="DB7E803F"/>
    <w:rsid w:val="DBF7D2C8"/>
    <w:rsid w:val="DBFF392A"/>
    <w:rsid w:val="DC7F97A9"/>
    <w:rsid w:val="DCE6F4ED"/>
    <w:rsid w:val="DD2FD168"/>
    <w:rsid w:val="DDAE7B9A"/>
    <w:rsid w:val="DDD94B75"/>
    <w:rsid w:val="DDEED3C2"/>
    <w:rsid w:val="DE8F0632"/>
    <w:rsid w:val="DEBD6080"/>
    <w:rsid w:val="DEBED879"/>
    <w:rsid w:val="DEDB78F2"/>
    <w:rsid w:val="DEEF1DFA"/>
    <w:rsid w:val="DEFB8943"/>
    <w:rsid w:val="DF3EB09D"/>
    <w:rsid w:val="DF5D7386"/>
    <w:rsid w:val="DF674DD3"/>
    <w:rsid w:val="DF6F6445"/>
    <w:rsid w:val="DF6FB35C"/>
    <w:rsid w:val="DF7FDFDB"/>
    <w:rsid w:val="DF9EEF47"/>
    <w:rsid w:val="DFAF496A"/>
    <w:rsid w:val="DFBF8FFC"/>
    <w:rsid w:val="DFCEEA99"/>
    <w:rsid w:val="DFD6A12A"/>
    <w:rsid w:val="DFD9F5B4"/>
    <w:rsid w:val="DFE7C4DE"/>
    <w:rsid w:val="DFF58779"/>
    <w:rsid w:val="DFFEE6C6"/>
    <w:rsid w:val="DFFEEBD5"/>
    <w:rsid w:val="DFFFAC93"/>
    <w:rsid w:val="E38F0256"/>
    <w:rsid w:val="E3ED3D2A"/>
    <w:rsid w:val="E4E7C5F4"/>
    <w:rsid w:val="E5F0D216"/>
    <w:rsid w:val="E5F76CE2"/>
    <w:rsid w:val="E5FA8D6E"/>
    <w:rsid w:val="E5FDF14A"/>
    <w:rsid w:val="E6FB8735"/>
    <w:rsid w:val="E7560976"/>
    <w:rsid w:val="E77CBEE4"/>
    <w:rsid w:val="E7EEDABE"/>
    <w:rsid w:val="E7F70DB9"/>
    <w:rsid w:val="E7FCF2D7"/>
    <w:rsid w:val="EA9B8572"/>
    <w:rsid w:val="EB1FF52F"/>
    <w:rsid w:val="EB7F47CC"/>
    <w:rsid w:val="EBBB808B"/>
    <w:rsid w:val="EBDD6160"/>
    <w:rsid w:val="EBF9EBAB"/>
    <w:rsid w:val="EBFE5DFC"/>
    <w:rsid w:val="ECE7BA05"/>
    <w:rsid w:val="ED36BEE0"/>
    <w:rsid w:val="ED7F56B8"/>
    <w:rsid w:val="ED8DCB3D"/>
    <w:rsid w:val="EDBE6870"/>
    <w:rsid w:val="EDDC5CB8"/>
    <w:rsid w:val="EDDD48E4"/>
    <w:rsid w:val="EDEF0668"/>
    <w:rsid w:val="EDFBD2BF"/>
    <w:rsid w:val="EEBF4636"/>
    <w:rsid w:val="EEDBBC17"/>
    <w:rsid w:val="EEF5C80C"/>
    <w:rsid w:val="EF6A5857"/>
    <w:rsid w:val="EF6E0FE1"/>
    <w:rsid w:val="EFB943DD"/>
    <w:rsid w:val="EFBCCE60"/>
    <w:rsid w:val="EFBCE7C4"/>
    <w:rsid w:val="EFD709D0"/>
    <w:rsid w:val="EFF6049C"/>
    <w:rsid w:val="EFFCDEA3"/>
    <w:rsid w:val="EFFF3407"/>
    <w:rsid w:val="EFFF4EC2"/>
    <w:rsid w:val="EFFF6FE4"/>
    <w:rsid w:val="F1BCE831"/>
    <w:rsid w:val="F1CB2931"/>
    <w:rsid w:val="F21D93E0"/>
    <w:rsid w:val="F2CA0ECF"/>
    <w:rsid w:val="F3974CAF"/>
    <w:rsid w:val="F39F6F7D"/>
    <w:rsid w:val="F3BD1802"/>
    <w:rsid w:val="F3F2AA57"/>
    <w:rsid w:val="F3F3B8F5"/>
    <w:rsid w:val="F3FDBA38"/>
    <w:rsid w:val="F4CFB628"/>
    <w:rsid w:val="F4FD52B9"/>
    <w:rsid w:val="F4FE32D6"/>
    <w:rsid w:val="F5569987"/>
    <w:rsid w:val="F5738C78"/>
    <w:rsid w:val="F57CF9DF"/>
    <w:rsid w:val="F59E9A36"/>
    <w:rsid w:val="F5AD9D31"/>
    <w:rsid w:val="F5DBEDD9"/>
    <w:rsid w:val="F5EFB54D"/>
    <w:rsid w:val="F5FF1FA6"/>
    <w:rsid w:val="F62A895F"/>
    <w:rsid w:val="F67C1D64"/>
    <w:rsid w:val="F67E8ACA"/>
    <w:rsid w:val="F6A3BF7F"/>
    <w:rsid w:val="F6F15F99"/>
    <w:rsid w:val="F6F235DC"/>
    <w:rsid w:val="F73BD873"/>
    <w:rsid w:val="F76F3F14"/>
    <w:rsid w:val="F7752E5B"/>
    <w:rsid w:val="F77746B0"/>
    <w:rsid w:val="F77F58FA"/>
    <w:rsid w:val="F78EE95A"/>
    <w:rsid w:val="F78F947D"/>
    <w:rsid w:val="F7DE9182"/>
    <w:rsid w:val="F7DF11E2"/>
    <w:rsid w:val="F7ED9CB1"/>
    <w:rsid w:val="F7F95DA3"/>
    <w:rsid w:val="F7FD7DC7"/>
    <w:rsid w:val="F8979B9D"/>
    <w:rsid w:val="F90FF700"/>
    <w:rsid w:val="F9752850"/>
    <w:rsid w:val="F97FC2EE"/>
    <w:rsid w:val="F9DBA087"/>
    <w:rsid w:val="F9FF1228"/>
    <w:rsid w:val="F9FF56AE"/>
    <w:rsid w:val="FA9FAC72"/>
    <w:rsid w:val="FAB7AE3E"/>
    <w:rsid w:val="FAD7E633"/>
    <w:rsid w:val="FAE87493"/>
    <w:rsid w:val="FB1FA9DA"/>
    <w:rsid w:val="FB57E153"/>
    <w:rsid w:val="FB5949D8"/>
    <w:rsid w:val="FB5B84F6"/>
    <w:rsid w:val="FBAD241F"/>
    <w:rsid w:val="FBB507F0"/>
    <w:rsid w:val="FBBFBB14"/>
    <w:rsid w:val="FBCE6C57"/>
    <w:rsid w:val="FBDF108A"/>
    <w:rsid w:val="FBF1646C"/>
    <w:rsid w:val="FBF4BC6D"/>
    <w:rsid w:val="FBF7C9D0"/>
    <w:rsid w:val="FBFD8FE1"/>
    <w:rsid w:val="FBFF4B76"/>
    <w:rsid w:val="FBFF871C"/>
    <w:rsid w:val="FC6CB9F2"/>
    <w:rsid w:val="FCA4A484"/>
    <w:rsid w:val="FCB2829B"/>
    <w:rsid w:val="FCDE1782"/>
    <w:rsid w:val="FCE741AA"/>
    <w:rsid w:val="FCF76DCD"/>
    <w:rsid w:val="FD0DD2D5"/>
    <w:rsid w:val="FD5F5FDD"/>
    <w:rsid w:val="FD77A90E"/>
    <w:rsid w:val="FD8F44B0"/>
    <w:rsid w:val="FD97AFB2"/>
    <w:rsid w:val="FDAF7D7D"/>
    <w:rsid w:val="FDBC1966"/>
    <w:rsid w:val="FDBF2EFE"/>
    <w:rsid w:val="FDC71E86"/>
    <w:rsid w:val="FDDED9D8"/>
    <w:rsid w:val="FDE7052F"/>
    <w:rsid w:val="FDEB0FCE"/>
    <w:rsid w:val="FDF1F066"/>
    <w:rsid w:val="FDF37BF0"/>
    <w:rsid w:val="FDFAB722"/>
    <w:rsid w:val="FDFE61D6"/>
    <w:rsid w:val="FDFE6C0D"/>
    <w:rsid w:val="FDFEBB99"/>
    <w:rsid w:val="FE37F01E"/>
    <w:rsid w:val="FE6ABCE4"/>
    <w:rsid w:val="FE6F130F"/>
    <w:rsid w:val="FE729686"/>
    <w:rsid w:val="FE768C12"/>
    <w:rsid w:val="FE77D31D"/>
    <w:rsid w:val="FECEA162"/>
    <w:rsid w:val="FED4978B"/>
    <w:rsid w:val="FED7D656"/>
    <w:rsid w:val="FEDF688B"/>
    <w:rsid w:val="FEDFBAB9"/>
    <w:rsid w:val="FEE3800B"/>
    <w:rsid w:val="FEF27908"/>
    <w:rsid w:val="FEF50E13"/>
    <w:rsid w:val="FEF7E8C4"/>
    <w:rsid w:val="FEFB96D6"/>
    <w:rsid w:val="FEFB9F23"/>
    <w:rsid w:val="FEFD2D5A"/>
    <w:rsid w:val="FEFF3F57"/>
    <w:rsid w:val="FEFF730C"/>
    <w:rsid w:val="FEFFAA97"/>
    <w:rsid w:val="FF067A7C"/>
    <w:rsid w:val="FF27F181"/>
    <w:rsid w:val="FF2B46FB"/>
    <w:rsid w:val="FF55DE0A"/>
    <w:rsid w:val="FF5D18DA"/>
    <w:rsid w:val="FF6906DF"/>
    <w:rsid w:val="FF75B19E"/>
    <w:rsid w:val="FF767F13"/>
    <w:rsid w:val="FF79081C"/>
    <w:rsid w:val="FF79AD59"/>
    <w:rsid w:val="FF7B9862"/>
    <w:rsid w:val="FF7C5253"/>
    <w:rsid w:val="FF7F00E8"/>
    <w:rsid w:val="FF8F28CA"/>
    <w:rsid w:val="FF9D4D83"/>
    <w:rsid w:val="FF9D5615"/>
    <w:rsid w:val="FF9F03F0"/>
    <w:rsid w:val="FF9F724E"/>
    <w:rsid w:val="FFA3CC92"/>
    <w:rsid w:val="FFAB90BD"/>
    <w:rsid w:val="FFAF5E54"/>
    <w:rsid w:val="FFB1E5B0"/>
    <w:rsid w:val="FFB2C0F1"/>
    <w:rsid w:val="FFB5E570"/>
    <w:rsid w:val="FFB71E5D"/>
    <w:rsid w:val="FFB7484E"/>
    <w:rsid w:val="FFB8161B"/>
    <w:rsid w:val="FFBCEA0D"/>
    <w:rsid w:val="FFBDF697"/>
    <w:rsid w:val="FFBF7F60"/>
    <w:rsid w:val="FFCEB704"/>
    <w:rsid w:val="FFCFD040"/>
    <w:rsid w:val="FFD5084F"/>
    <w:rsid w:val="FFD7812A"/>
    <w:rsid w:val="FFD95EF8"/>
    <w:rsid w:val="FFDD8033"/>
    <w:rsid w:val="FFDF8CFB"/>
    <w:rsid w:val="FFE0E91E"/>
    <w:rsid w:val="FFE7AB30"/>
    <w:rsid w:val="FFEB369E"/>
    <w:rsid w:val="FFEB9CCE"/>
    <w:rsid w:val="FFED0B91"/>
    <w:rsid w:val="FFEFA2FA"/>
    <w:rsid w:val="FFEFF708"/>
    <w:rsid w:val="FFF392D3"/>
    <w:rsid w:val="FFF60547"/>
    <w:rsid w:val="FFF65017"/>
    <w:rsid w:val="FFF8FE8C"/>
    <w:rsid w:val="FFF90C93"/>
    <w:rsid w:val="FFF958B6"/>
    <w:rsid w:val="FFF97AC3"/>
    <w:rsid w:val="FFFAC3A0"/>
    <w:rsid w:val="FFFB0714"/>
    <w:rsid w:val="FFFBAF9C"/>
    <w:rsid w:val="FFFC53B9"/>
    <w:rsid w:val="FFFC7DA7"/>
    <w:rsid w:val="FFFD7461"/>
    <w:rsid w:val="FFFD7667"/>
    <w:rsid w:val="FFFD9974"/>
    <w:rsid w:val="FFFE1966"/>
    <w:rsid w:val="FFFE21E3"/>
    <w:rsid w:val="FFFEF936"/>
    <w:rsid w:val="FFFF4DA2"/>
    <w:rsid w:val="FFFF5D54"/>
    <w:rsid w:val="FFFFBA64"/>
    <w:rsid w:val="FFFFECE0"/>
    <w:rsid w:val="FFFFF2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2"/>
    <w:qFormat/>
    <w:uiPriority w:val="99"/>
    <w:pPr>
      <w:keepNext/>
      <w:keepLines/>
      <w:outlineLvl w:val="1"/>
    </w:pPr>
    <w:rPr>
      <w:rFonts w:ascii="楷体_GB2312" w:hAnsi="Calibri Light" w:eastAsia="楷体_GB2312"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0" w:firstLineChars="200"/>
    </w:pPr>
    <w:rPr>
      <w:rFonts w:ascii="宋体" w:hAnsi="宋体" w:eastAsia="宋体" w:cs="Times New Roman"/>
    </w:rPr>
  </w:style>
  <w:style w:type="paragraph" w:styleId="5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11">
    <w:name w:val="标题 1 Char"/>
    <w:basedOn w:val="9"/>
    <w:link w:val="3"/>
    <w:qFormat/>
    <w:locked/>
    <w:uiPriority w:val="99"/>
    <w:rPr>
      <w:rFonts w:ascii="仿宋_GB2312" w:eastAsia="黑体" w:cs="Times New Roman"/>
      <w:bCs/>
      <w:kern w:val="44"/>
      <w:sz w:val="44"/>
      <w:szCs w:val="44"/>
    </w:rPr>
  </w:style>
  <w:style w:type="character" w:customStyle="1" w:styleId="12">
    <w:name w:val="标题 2 Char"/>
    <w:basedOn w:val="9"/>
    <w:link w:val="4"/>
    <w:qFormat/>
    <w:locked/>
    <w:uiPriority w:val="99"/>
    <w:rPr>
      <w:rFonts w:ascii="楷体_GB2312" w:hAnsi="Calibri Light" w:eastAsia="楷体_GB2312" w:cs="Times New Roman"/>
      <w:bCs/>
      <w:sz w:val="32"/>
      <w:szCs w:val="32"/>
    </w:rPr>
  </w:style>
  <w:style w:type="paragraph" w:customStyle="1" w:styleId="13">
    <w:name w:val="列出段落1"/>
    <w:basedOn w:val="1"/>
    <w:qFormat/>
    <w:uiPriority w:val="0"/>
    <w:pPr>
      <w:widowControl/>
      <w:ind w:firstLine="420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页眉 Char"/>
    <w:basedOn w:val="9"/>
    <w:link w:val="7"/>
    <w:qFormat/>
    <w:locked/>
    <w:uiPriority w:val="99"/>
    <w:rPr>
      <w:rFonts w:ascii="仿宋_GB2312" w:eastAsia="仿宋_GB2312" w:cs="Times New Roman"/>
      <w:sz w:val="18"/>
      <w:szCs w:val="18"/>
    </w:rPr>
  </w:style>
  <w:style w:type="character" w:customStyle="1" w:styleId="15">
    <w:name w:val="页脚 Char"/>
    <w:basedOn w:val="9"/>
    <w:link w:val="6"/>
    <w:qFormat/>
    <w:locked/>
    <w:uiPriority w:val="99"/>
    <w:rPr>
      <w:rFonts w:ascii="仿宋_GB2312" w:eastAsia="仿宋_GB2312" w:cs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/>
    </w:pPr>
  </w:style>
  <w:style w:type="character" w:customStyle="1" w:styleId="17">
    <w:name w:val="批注框文本 Char"/>
    <w:basedOn w:val="9"/>
    <w:link w:val="5"/>
    <w:semiHidden/>
    <w:qFormat/>
    <w:uiPriority w:val="99"/>
    <w:rPr>
      <w:rFonts w:ascii="仿宋_GB2312" w:eastAsia="仿宋_GB2312"/>
      <w:kern w:val="2"/>
      <w:sz w:val="18"/>
      <w:szCs w:val="18"/>
    </w:rPr>
  </w:style>
  <w:style w:type="paragraph" w:customStyle="1" w:styleId="18">
    <w:name w:val="p0"/>
    <w:basedOn w:val="1"/>
    <w:qFormat/>
    <w:uiPriority w:val="99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1021</Words>
  <Characters>5824</Characters>
  <Lines>48</Lines>
  <Paragraphs>13</Paragraphs>
  <TotalTime>66</TotalTime>
  <ScaleCrop>false</ScaleCrop>
  <LinksUpToDate>false</LinksUpToDate>
  <CharactersWithSpaces>6832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2022-09-16T10:25:00Z</dcterms:created>
  <dc:creator>综合科</dc:creator>
  <cp:lastModifiedBy>HUAWEI</cp:lastModifiedBy>
  <cp:lastPrinted>2022-07-21T09:57:00Z</cp:lastPrinted>
  <dcterms:modified xsi:type="dcterms:W3CDTF">2023-08-28T08:00:53Z</dcterms:modified>
  <dc:title>关于河南省2021年财政决算和2022年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46AD72BB6EE24038B4D7A75628512378</vt:lpwstr>
  </property>
</Properties>
</file>