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62F1" w14:textId="6D0CD36F" w:rsidR="00C8561E" w:rsidRPr="00B4004A" w:rsidRDefault="00C8561E" w:rsidP="00B4004A">
      <w:pPr>
        <w:jc w:val="center"/>
        <w:rPr>
          <w:rFonts w:ascii="方正小标宋简体" w:eastAsia="方正小标宋简体"/>
          <w:sz w:val="44"/>
          <w:szCs w:val="44"/>
        </w:rPr>
      </w:pPr>
      <w:r w:rsidRPr="00B4004A">
        <w:rPr>
          <w:rFonts w:ascii="方正小标宋简体" w:eastAsia="方正小标宋简体" w:hint="eastAsia"/>
          <w:sz w:val="44"/>
          <w:szCs w:val="44"/>
        </w:rPr>
        <w:t>三门峡市</w:t>
      </w:r>
      <w:r w:rsidR="00E33BE1">
        <w:rPr>
          <w:rFonts w:ascii="方正小标宋简体" w:eastAsia="方正小标宋简体" w:hint="eastAsia"/>
          <w:sz w:val="44"/>
          <w:szCs w:val="44"/>
        </w:rPr>
        <w:t>财政</w:t>
      </w:r>
      <w:r w:rsidRPr="00B4004A">
        <w:rPr>
          <w:rFonts w:ascii="方正小标宋简体" w:eastAsia="方正小标宋简体" w:hint="eastAsia"/>
          <w:sz w:val="44"/>
          <w:szCs w:val="44"/>
        </w:rPr>
        <w:t>局</w:t>
      </w:r>
      <w:r w:rsidR="007F32C4" w:rsidRPr="007F32C4">
        <w:rPr>
          <w:rFonts w:ascii="方正小标宋简体" w:eastAsia="方正小标宋简体" w:hint="eastAsia"/>
          <w:sz w:val="44"/>
          <w:szCs w:val="44"/>
        </w:rPr>
        <w:t>行政裁决</w:t>
      </w:r>
      <w:r w:rsidR="0034732C">
        <w:rPr>
          <w:rFonts w:ascii="方正小标宋简体" w:eastAsia="方正小标宋简体" w:hint="eastAsia"/>
          <w:sz w:val="44"/>
          <w:szCs w:val="44"/>
        </w:rPr>
        <w:t>事项清单及</w:t>
      </w:r>
      <w:r w:rsidR="007F32C4" w:rsidRPr="007F32C4">
        <w:rPr>
          <w:rFonts w:ascii="方正小标宋简体" w:eastAsia="方正小标宋简体"/>
          <w:sz w:val="44"/>
          <w:szCs w:val="44"/>
        </w:rPr>
        <w:t>工作</w:t>
      </w:r>
      <w:r w:rsidR="00B126CE">
        <w:rPr>
          <w:rFonts w:ascii="方正小标宋简体" w:eastAsia="方正小标宋简体" w:hint="eastAsia"/>
          <w:sz w:val="44"/>
          <w:szCs w:val="44"/>
        </w:rPr>
        <w:t>指南</w:t>
      </w:r>
      <w:r w:rsidR="00E33BE1">
        <w:rPr>
          <w:rFonts w:ascii="方正小标宋简体" w:eastAsia="方正小标宋简体" w:hint="eastAsia"/>
          <w:sz w:val="44"/>
          <w:szCs w:val="44"/>
        </w:rPr>
        <w:t xml:space="preserve"> </w:t>
      </w:r>
    </w:p>
    <w:p w14:paraId="1DFDA336" w14:textId="235A902E" w:rsidR="00C8561E" w:rsidRPr="00C8561E" w:rsidRDefault="00C8561E" w:rsidP="00C8561E">
      <w:pPr>
        <w:rPr>
          <w:rFonts w:ascii="仿宋_GB2312" w:eastAsia="仿宋_GB2312"/>
          <w:sz w:val="32"/>
          <w:szCs w:val="32"/>
        </w:rPr>
      </w:pPr>
      <w:r w:rsidRPr="00C8561E">
        <w:rPr>
          <w:rFonts w:ascii="仿宋_GB2312" w:eastAsia="仿宋_GB2312" w:hint="eastAsia"/>
          <w:sz w:val="32"/>
          <w:szCs w:val="32"/>
        </w:rPr>
        <w:t>《三门峡市</w:t>
      </w:r>
      <w:r w:rsidR="00E33BE1">
        <w:rPr>
          <w:rFonts w:ascii="仿宋_GB2312" w:eastAsia="仿宋_GB2312" w:hint="eastAsia"/>
          <w:sz w:val="32"/>
          <w:szCs w:val="32"/>
        </w:rPr>
        <w:t>财政</w:t>
      </w:r>
      <w:r w:rsidRPr="00C8561E">
        <w:rPr>
          <w:rFonts w:ascii="仿宋_GB2312" w:eastAsia="仿宋_GB2312" w:hint="eastAsia"/>
          <w:sz w:val="32"/>
          <w:szCs w:val="32"/>
        </w:rPr>
        <w:t>局权责清单》</w:t>
      </w:r>
      <w:r>
        <w:rPr>
          <w:rFonts w:ascii="仿宋_GB2312" w:eastAsia="仿宋_GB2312" w:hint="eastAsia"/>
          <w:sz w:val="32"/>
          <w:szCs w:val="32"/>
        </w:rPr>
        <w:t>行政裁决</w:t>
      </w:r>
      <w:r w:rsidRPr="00C8561E">
        <w:rPr>
          <w:rFonts w:ascii="仿宋_GB2312" w:eastAsia="仿宋_GB2312" w:hint="eastAsia"/>
          <w:sz w:val="32"/>
          <w:szCs w:val="32"/>
        </w:rPr>
        <w:t>事项：</w:t>
      </w:r>
      <w:r>
        <w:rPr>
          <w:rFonts w:ascii="仿宋_GB2312" w:eastAsia="仿宋_GB2312" w:hint="eastAsia"/>
          <w:sz w:val="32"/>
          <w:szCs w:val="32"/>
        </w:rPr>
        <w:t>政府采购投诉处理</w:t>
      </w:r>
      <w:r w:rsidRPr="00C8561E">
        <w:rPr>
          <w:rFonts w:ascii="仿宋_GB2312" w:eastAsia="仿宋_GB2312" w:hint="eastAsia"/>
          <w:sz w:val="32"/>
          <w:szCs w:val="32"/>
        </w:rPr>
        <w:t xml:space="preserve"> </w:t>
      </w:r>
    </w:p>
    <w:p w14:paraId="74FF4493" w14:textId="7A7C20D1" w:rsidR="00C8561E" w:rsidRPr="00C8561E" w:rsidRDefault="00C8561E" w:rsidP="00C8561E">
      <w:pPr>
        <w:rPr>
          <w:rFonts w:ascii="仿宋_GB2312" w:eastAsia="仿宋_GB2312"/>
          <w:sz w:val="32"/>
          <w:szCs w:val="32"/>
        </w:rPr>
      </w:pPr>
      <w:r w:rsidRPr="00C8561E">
        <w:rPr>
          <w:rFonts w:ascii="仿宋_GB2312" w:eastAsia="仿宋_GB2312" w:hint="eastAsia"/>
          <w:sz w:val="32"/>
          <w:szCs w:val="32"/>
        </w:rPr>
        <w:t xml:space="preserve">行使主体： </w:t>
      </w:r>
      <w:r>
        <w:rPr>
          <w:rFonts w:ascii="仿宋_GB2312" w:eastAsia="仿宋_GB2312" w:hint="eastAsia"/>
          <w:sz w:val="32"/>
          <w:szCs w:val="32"/>
        </w:rPr>
        <w:t>三门峡市财政局</w:t>
      </w:r>
      <w:r w:rsidR="00B4004A">
        <w:rPr>
          <w:rFonts w:ascii="仿宋_GB2312" w:eastAsia="仿宋_GB2312" w:hint="eastAsia"/>
          <w:sz w:val="32"/>
          <w:szCs w:val="32"/>
        </w:rPr>
        <w:t>政府采购监督管理科</w:t>
      </w:r>
    </w:p>
    <w:p w14:paraId="50380DE0" w14:textId="77777777" w:rsidR="00C8561E" w:rsidRPr="00C8561E" w:rsidRDefault="00C8561E" w:rsidP="00C8561E">
      <w:pPr>
        <w:rPr>
          <w:rFonts w:ascii="仿宋_GB2312" w:eastAsia="仿宋_GB2312"/>
          <w:sz w:val="32"/>
          <w:szCs w:val="32"/>
        </w:rPr>
      </w:pPr>
      <w:r w:rsidRPr="00C8561E">
        <w:rPr>
          <w:rFonts w:ascii="仿宋_GB2312" w:eastAsia="仿宋_GB2312" w:hint="eastAsia"/>
          <w:sz w:val="32"/>
          <w:szCs w:val="32"/>
        </w:rPr>
        <w:t>法律依据：</w:t>
      </w:r>
      <w:r w:rsidRPr="00C8561E">
        <w:rPr>
          <w:rFonts w:ascii="仿宋_GB2312" w:eastAsia="仿宋_GB2312"/>
          <w:sz w:val="32"/>
          <w:szCs w:val="32"/>
        </w:rPr>
        <w:t>1、《中华人民共和国政府采购法》第五十六条：</w:t>
      </w:r>
      <w:r w:rsidRPr="00C8561E">
        <w:rPr>
          <w:rFonts w:ascii="仿宋_GB2312" w:eastAsia="仿宋_GB2312"/>
          <w:sz w:val="32"/>
          <w:szCs w:val="32"/>
        </w:rPr>
        <w:t>“</w:t>
      </w:r>
      <w:r w:rsidRPr="00C8561E">
        <w:rPr>
          <w:rFonts w:ascii="仿宋_GB2312" w:eastAsia="仿宋_GB2312"/>
          <w:sz w:val="32"/>
          <w:szCs w:val="32"/>
        </w:rPr>
        <w:t>政府采购监督管理部门应当在收到投诉后三十个工作日内，对投诉事项作出处理决定，并以书面形式通知投诉人和与投诉事项相关的当事人。</w:t>
      </w:r>
      <w:r w:rsidRPr="00C8561E">
        <w:rPr>
          <w:rFonts w:ascii="仿宋_GB2312" w:eastAsia="仿宋_GB2312"/>
          <w:sz w:val="32"/>
          <w:szCs w:val="32"/>
        </w:rPr>
        <w:t>”</w:t>
      </w:r>
    </w:p>
    <w:p w14:paraId="44F172FB" w14:textId="0703F222" w:rsidR="00C8561E" w:rsidRDefault="00C8561E" w:rsidP="00C8561E">
      <w:pPr>
        <w:rPr>
          <w:rFonts w:ascii="仿宋_GB2312" w:eastAsia="仿宋_GB2312"/>
          <w:sz w:val="32"/>
          <w:szCs w:val="32"/>
        </w:rPr>
      </w:pPr>
      <w:r w:rsidRPr="00C8561E">
        <w:rPr>
          <w:rFonts w:ascii="仿宋_GB2312" w:eastAsia="仿宋_GB2312"/>
          <w:sz w:val="32"/>
          <w:szCs w:val="32"/>
        </w:rPr>
        <w:t xml:space="preserve">   2、《政府采购质疑和投诉办法》（财政部令第94号）第三十一条：</w:t>
      </w:r>
      <w:r w:rsidRPr="00C8561E">
        <w:rPr>
          <w:rFonts w:ascii="仿宋_GB2312" w:eastAsia="仿宋_GB2312"/>
          <w:sz w:val="32"/>
          <w:szCs w:val="32"/>
        </w:rPr>
        <w:t>“</w:t>
      </w:r>
      <w:r w:rsidRPr="00C8561E">
        <w:rPr>
          <w:rFonts w:ascii="仿宋_GB2312" w:eastAsia="仿宋_GB2312"/>
          <w:sz w:val="32"/>
          <w:szCs w:val="32"/>
        </w:rPr>
        <w:t>投诉人对采购文件提起的投诉事项，财政部门经查证属实的，应当认定投诉事项成立。经认定成立的投诉事项不影响采购结果的，继续开展采购活动；影响或者可能影响采购结果的，财政部门按照下列情况处理：（一）未确定中标或者成交供应商的，责令重新开展采购活动。（二）已确定中标或者成交供应商但尚未签订政府采购合同的，认定中标或者成交结果无效，责令重新开展采购活动。（三）政府采购合同已经签订但尚未履行的，撤销合同，责令重新开展采购活动。（四）政府采购合同已经</w:t>
      </w:r>
      <w:r w:rsidRPr="00C8561E">
        <w:rPr>
          <w:rFonts w:ascii="仿宋_GB2312" w:eastAsia="仿宋_GB2312" w:hint="eastAsia"/>
          <w:sz w:val="32"/>
          <w:szCs w:val="32"/>
        </w:rPr>
        <w:t>履行，给他人造成损失的，相关当事人可依法提起诉讼，由责任人承担赔偿责任”。第三十二条：“投诉人对采购过程或者采购结果提起的投诉事项，财政</w:t>
      </w:r>
      <w:r w:rsidRPr="00C8561E">
        <w:rPr>
          <w:rFonts w:ascii="仿宋_GB2312" w:eastAsia="仿宋_GB2312" w:hint="eastAsia"/>
          <w:sz w:val="32"/>
          <w:szCs w:val="32"/>
        </w:rPr>
        <w:lastRenderedPageBreak/>
        <w:t>部门经查证属实的，应当认定投诉事项成立。经认定成立的投诉事项不影响采购结果的，继续开展采购活动；影响或者可能影响采购结果的，财政部门按照下列情况处理：（一）未确定中标或者成交供应商的，责令重新开展采购活动。（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四）政府采购合同已经履行，给他人造成损失的，相关当事人可依法提起诉讼</w:t>
      </w:r>
      <w:r w:rsidRPr="00C8561E">
        <w:rPr>
          <w:rFonts w:ascii="仿宋_GB2312" w:eastAsia="仿宋_GB2312"/>
          <w:sz w:val="32"/>
          <w:szCs w:val="32"/>
        </w:rPr>
        <w:t>,由责任人承担赔偿责任。投诉人对废标行为提起的投诉事项成立的，财政部门应当认定废标行为无效。</w:t>
      </w:r>
      <w:r w:rsidRPr="00C8561E">
        <w:rPr>
          <w:rFonts w:ascii="仿宋_GB2312" w:eastAsia="仿宋_GB2312"/>
          <w:sz w:val="32"/>
          <w:szCs w:val="32"/>
        </w:rPr>
        <w:t>”</w:t>
      </w:r>
    </w:p>
    <w:p w14:paraId="08D419F9" w14:textId="78414DEF" w:rsidR="00C8561E" w:rsidRPr="00C8561E" w:rsidRDefault="000D4F8D" w:rsidP="00C8561E">
      <w:pPr>
        <w:rPr>
          <w:rFonts w:ascii="仿宋_GB2312" w:eastAsia="仿宋_GB2312"/>
          <w:sz w:val="32"/>
          <w:szCs w:val="32"/>
        </w:rPr>
      </w:pPr>
      <w:r>
        <w:rPr>
          <w:rFonts w:ascii="仿宋_GB2312" w:eastAsia="仿宋_GB2312" w:hint="eastAsia"/>
          <w:sz w:val="32"/>
          <w:szCs w:val="32"/>
        </w:rPr>
        <w:t>申请条件：</w:t>
      </w:r>
      <w:r w:rsidRPr="000D4F8D">
        <w:rPr>
          <w:rFonts w:ascii="仿宋_GB2312" w:eastAsia="仿宋_GB2312"/>
          <w:sz w:val="32"/>
          <w:szCs w:val="32"/>
        </w:rPr>
        <w:t>中华人民共和国财政部令第94号--政府采购质疑和投诉办法（一）提起投诉前已依法进行质疑；（二）投诉书内容符合本办法的规定；（三）在投诉有效期限内提起投诉；（四）同一投诉事项未经财政部门投诉处理；（五）财政部规定的其他条件。</w:t>
      </w:r>
    </w:p>
    <w:p w14:paraId="155FD3C6" w14:textId="3BD0F3AB" w:rsidR="00C8561E" w:rsidRPr="00C8561E" w:rsidRDefault="000D4F8D" w:rsidP="00C8561E">
      <w:pPr>
        <w:rPr>
          <w:rFonts w:ascii="仿宋_GB2312" w:eastAsia="仿宋_GB2312"/>
          <w:sz w:val="32"/>
          <w:szCs w:val="32"/>
        </w:rPr>
      </w:pPr>
      <w:r>
        <w:rPr>
          <w:rFonts w:ascii="仿宋_GB2312" w:eastAsia="仿宋_GB2312" w:hint="eastAsia"/>
          <w:sz w:val="32"/>
          <w:szCs w:val="32"/>
        </w:rPr>
        <w:t>申请材料：1</w:t>
      </w:r>
      <w:r>
        <w:rPr>
          <w:rFonts w:ascii="仿宋_GB2312" w:eastAsia="仿宋_GB2312"/>
          <w:sz w:val="32"/>
          <w:szCs w:val="32"/>
        </w:rPr>
        <w:t>.</w:t>
      </w:r>
      <w:r>
        <w:rPr>
          <w:rFonts w:ascii="仿宋_GB2312" w:eastAsia="仿宋_GB2312" w:hint="eastAsia"/>
          <w:sz w:val="32"/>
          <w:szCs w:val="32"/>
        </w:rPr>
        <w:t xml:space="preserve">政府采购投诉书 </w:t>
      </w:r>
      <w:r>
        <w:rPr>
          <w:rFonts w:ascii="仿宋_GB2312" w:eastAsia="仿宋_GB2312"/>
          <w:sz w:val="32"/>
          <w:szCs w:val="32"/>
        </w:rPr>
        <w:t>2</w:t>
      </w:r>
      <w:r w:rsidR="002A7BE1">
        <w:rPr>
          <w:rFonts w:ascii="仿宋_GB2312" w:eastAsia="仿宋_GB2312" w:hint="eastAsia"/>
          <w:sz w:val="32"/>
          <w:szCs w:val="32"/>
        </w:rPr>
        <w:t>.</w:t>
      </w:r>
      <w:r w:rsidRPr="000D4F8D">
        <w:rPr>
          <w:rFonts w:ascii="仿宋_GB2312" w:eastAsia="仿宋_GB2312" w:hint="eastAsia"/>
          <w:sz w:val="32"/>
          <w:szCs w:val="32"/>
        </w:rPr>
        <w:t>政府采购投诉处理授权委</w:t>
      </w:r>
      <w:r w:rsidRPr="000D4F8D">
        <w:rPr>
          <w:rFonts w:ascii="仿宋_GB2312" w:eastAsia="仿宋_GB2312" w:hint="eastAsia"/>
          <w:sz w:val="32"/>
          <w:szCs w:val="32"/>
        </w:rPr>
        <w:lastRenderedPageBreak/>
        <w:t>托书</w:t>
      </w:r>
    </w:p>
    <w:p w14:paraId="39EEBAD0" w14:textId="216E1E87" w:rsidR="00C8561E" w:rsidRDefault="00C8561E" w:rsidP="00C8561E">
      <w:pPr>
        <w:rPr>
          <w:rFonts w:ascii="仿宋_GB2312" w:eastAsia="仿宋_GB2312"/>
          <w:sz w:val="32"/>
          <w:szCs w:val="32"/>
        </w:rPr>
      </w:pPr>
      <w:r w:rsidRPr="00C8561E">
        <w:rPr>
          <w:rFonts w:ascii="仿宋_GB2312" w:eastAsia="仿宋_GB2312" w:hint="eastAsia"/>
          <w:sz w:val="32"/>
          <w:szCs w:val="32"/>
        </w:rPr>
        <w:t>承诺期限：</w:t>
      </w:r>
      <w:r w:rsidR="000D4F8D" w:rsidRPr="000D4F8D">
        <w:rPr>
          <w:rFonts w:ascii="仿宋_GB2312" w:eastAsia="仿宋_GB2312"/>
          <w:sz w:val="32"/>
          <w:szCs w:val="32"/>
        </w:rPr>
        <w:t>承诺</w:t>
      </w:r>
      <w:r w:rsidR="000D4F8D" w:rsidRPr="000D4F8D">
        <w:rPr>
          <w:rFonts w:ascii="仿宋_GB2312" w:eastAsia="仿宋_GB2312" w:hint="eastAsia"/>
          <w:sz w:val="32"/>
          <w:szCs w:val="32"/>
        </w:rPr>
        <w:t>办理时限为2</w:t>
      </w:r>
      <w:r w:rsidR="000D4F8D" w:rsidRPr="000D4F8D">
        <w:rPr>
          <w:rFonts w:ascii="仿宋_GB2312" w:eastAsia="仿宋_GB2312"/>
          <w:sz w:val="32"/>
          <w:szCs w:val="32"/>
        </w:rPr>
        <w:t>0</w:t>
      </w:r>
      <w:r w:rsidR="000D4F8D" w:rsidRPr="000D4F8D">
        <w:rPr>
          <w:rFonts w:ascii="仿宋_GB2312" w:eastAsia="仿宋_GB2312" w:hint="eastAsia"/>
          <w:sz w:val="32"/>
          <w:szCs w:val="32"/>
        </w:rPr>
        <w:t>个工作日，</w:t>
      </w:r>
      <w:r w:rsidR="000D4F8D" w:rsidRPr="000D4F8D">
        <w:rPr>
          <w:rFonts w:ascii="仿宋_GB2312" w:eastAsia="仿宋_GB2312"/>
          <w:sz w:val="32"/>
          <w:szCs w:val="32"/>
        </w:rPr>
        <w:t>时间不包含听证、招标、拍卖、检验、检测、检疫、鉴定和专家评审、现场勘查、补件、上报（转报）等步骤所需要的时间。</w:t>
      </w:r>
    </w:p>
    <w:p w14:paraId="19486B2B" w14:textId="331457AC" w:rsidR="002A7BE1" w:rsidRDefault="002A7BE1" w:rsidP="00C8561E">
      <w:pPr>
        <w:rPr>
          <w:rFonts w:ascii="仿宋_GB2312" w:eastAsia="仿宋_GB2312"/>
          <w:sz w:val="32"/>
          <w:szCs w:val="32"/>
        </w:rPr>
      </w:pPr>
      <w:r>
        <w:rPr>
          <w:rFonts w:ascii="仿宋_GB2312" w:eastAsia="仿宋_GB2312" w:hint="eastAsia"/>
          <w:sz w:val="32"/>
          <w:szCs w:val="32"/>
        </w:rPr>
        <w:t>办理流程：</w:t>
      </w:r>
    </w:p>
    <w:p w14:paraId="71100886" w14:textId="54DEE75B" w:rsidR="002A7BE1" w:rsidRPr="002A7BE1" w:rsidRDefault="00D7674A" w:rsidP="00C8561E">
      <w:pPr>
        <w:rPr>
          <w:rFonts w:ascii="仿宋_GB2312" w:eastAsia="仿宋_GB2312"/>
          <w:sz w:val="32"/>
          <w:szCs w:val="32"/>
        </w:rPr>
      </w:pPr>
      <w:r>
        <w:rPr>
          <w:noProof/>
        </w:rPr>
        <w:drawing>
          <wp:inline distT="0" distB="0" distL="0" distR="0" wp14:anchorId="065E723E" wp14:editId="0CB65D1E">
            <wp:extent cx="5274310" cy="6811010"/>
            <wp:effectExtent l="0" t="0" r="2540" b="8890"/>
            <wp:docPr id="2449603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60333" name=""/>
                    <pic:cNvPicPr/>
                  </pic:nvPicPr>
                  <pic:blipFill>
                    <a:blip r:embed="rId6"/>
                    <a:stretch>
                      <a:fillRect/>
                    </a:stretch>
                  </pic:blipFill>
                  <pic:spPr>
                    <a:xfrm>
                      <a:off x="0" y="0"/>
                      <a:ext cx="5274310" cy="6811010"/>
                    </a:xfrm>
                    <a:prstGeom prst="rect">
                      <a:avLst/>
                    </a:prstGeom>
                  </pic:spPr>
                </pic:pic>
              </a:graphicData>
            </a:graphic>
          </wp:inline>
        </w:drawing>
      </w:r>
    </w:p>
    <w:p w14:paraId="53DA1CA6" w14:textId="7189F594" w:rsidR="00C8561E" w:rsidRPr="000D4F8D" w:rsidRDefault="00C8561E" w:rsidP="00C8561E">
      <w:pPr>
        <w:widowControl/>
        <w:rPr>
          <w:rFonts w:ascii="仿宋_GB2312" w:eastAsia="仿宋_GB2312"/>
          <w:sz w:val="32"/>
          <w:szCs w:val="32"/>
        </w:rPr>
      </w:pPr>
      <w:r w:rsidRPr="00C8561E">
        <w:rPr>
          <w:rFonts w:ascii="仿宋_GB2312" w:eastAsia="仿宋_GB2312" w:hint="eastAsia"/>
          <w:sz w:val="32"/>
          <w:szCs w:val="32"/>
        </w:rPr>
        <w:lastRenderedPageBreak/>
        <w:t>责任事项：</w:t>
      </w:r>
      <w:r w:rsidRPr="000D4F8D">
        <w:rPr>
          <w:rFonts w:ascii="仿宋_GB2312" w:eastAsia="仿宋_GB2312" w:hint="eastAsia"/>
          <w:sz w:val="32"/>
          <w:szCs w:val="32"/>
        </w:rPr>
        <w:t>1.受理责任（受理岗）：对供应商的投诉，进行审查，符合条件的予以受理，并向被投诉人和其他与投诉事项有关的当事人发出投诉答复通知书及投诉书副本。</w:t>
      </w:r>
    </w:p>
    <w:p w14:paraId="6C268C5E" w14:textId="77777777" w:rsidR="00C8561E" w:rsidRPr="000D4F8D" w:rsidRDefault="00C8561E" w:rsidP="00C8561E">
      <w:pPr>
        <w:widowControl/>
        <w:rPr>
          <w:rFonts w:ascii="仿宋_GB2312" w:eastAsia="仿宋_GB2312"/>
          <w:sz w:val="32"/>
          <w:szCs w:val="32"/>
        </w:rPr>
      </w:pPr>
      <w:r w:rsidRPr="00C8561E">
        <w:rPr>
          <w:rFonts w:ascii="仿宋_GB2312" w:eastAsia="仿宋_GB2312" w:hint="eastAsia"/>
          <w:sz w:val="32"/>
          <w:szCs w:val="32"/>
        </w:rPr>
        <w:t>2.审查调查责任（审查调查岗）：依据政府采购法律法规对收集、调查的材料进行审查。必要时进行调查。</w:t>
      </w:r>
    </w:p>
    <w:p w14:paraId="27E066A9" w14:textId="77777777" w:rsidR="00C8561E" w:rsidRPr="000D4F8D" w:rsidRDefault="00C8561E" w:rsidP="00C8561E">
      <w:pPr>
        <w:widowControl/>
        <w:rPr>
          <w:rFonts w:ascii="仿宋_GB2312" w:eastAsia="仿宋_GB2312"/>
          <w:sz w:val="32"/>
          <w:szCs w:val="32"/>
        </w:rPr>
      </w:pPr>
      <w:r w:rsidRPr="00C8561E">
        <w:rPr>
          <w:rFonts w:ascii="仿宋_GB2312" w:eastAsia="仿宋_GB2312" w:hint="eastAsia"/>
          <w:sz w:val="32"/>
          <w:szCs w:val="32"/>
        </w:rPr>
        <w:t>3.决定责任（决定岗）：根据审查调查的事实、证据，依法作出投诉处理决定书。</w:t>
      </w:r>
    </w:p>
    <w:p w14:paraId="0D3FF69B" w14:textId="77777777" w:rsidR="00C8561E" w:rsidRPr="000D4F8D" w:rsidRDefault="00C8561E" w:rsidP="00C8561E">
      <w:pPr>
        <w:widowControl/>
        <w:rPr>
          <w:rFonts w:ascii="仿宋_GB2312" w:eastAsia="仿宋_GB2312"/>
          <w:sz w:val="32"/>
          <w:szCs w:val="32"/>
        </w:rPr>
      </w:pPr>
      <w:r w:rsidRPr="00C8561E">
        <w:rPr>
          <w:rFonts w:ascii="仿宋_GB2312" w:eastAsia="仿宋_GB2312" w:hint="eastAsia"/>
          <w:sz w:val="32"/>
          <w:szCs w:val="32"/>
        </w:rPr>
        <w:t>4、送达责任（送达岗）：依法将投诉处理决定书送达当事人。</w:t>
      </w:r>
    </w:p>
    <w:p w14:paraId="1D22AF09" w14:textId="77777777" w:rsidR="00C8561E" w:rsidRPr="000D4F8D" w:rsidRDefault="00C8561E" w:rsidP="00C8561E">
      <w:pPr>
        <w:widowControl/>
        <w:rPr>
          <w:rFonts w:ascii="仿宋_GB2312" w:eastAsia="仿宋_GB2312"/>
          <w:sz w:val="32"/>
          <w:szCs w:val="32"/>
        </w:rPr>
      </w:pPr>
      <w:r w:rsidRPr="00C8561E">
        <w:rPr>
          <w:rFonts w:ascii="仿宋_GB2312" w:eastAsia="仿宋_GB2312" w:hint="eastAsia"/>
          <w:sz w:val="32"/>
          <w:szCs w:val="32"/>
        </w:rPr>
        <w:t>5、结果公示责任（结果公示岗）：将投诉处理结果在网站上予以公示。</w:t>
      </w:r>
    </w:p>
    <w:p w14:paraId="6156B3F4" w14:textId="77777777" w:rsidR="00C8561E" w:rsidRPr="000D4F8D" w:rsidRDefault="00C8561E" w:rsidP="00C8561E">
      <w:pPr>
        <w:widowControl/>
        <w:rPr>
          <w:rFonts w:ascii="仿宋_GB2312" w:eastAsia="仿宋_GB2312"/>
          <w:sz w:val="32"/>
          <w:szCs w:val="32"/>
        </w:rPr>
      </w:pPr>
      <w:r w:rsidRPr="00C8561E">
        <w:rPr>
          <w:rFonts w:ascii="仿宋_GB2312" w:eastAsia="仿宋_GB2312" w:hint="eastAsia"/>
          <w:sz w:val="32"/>
          <w:szCs w:val="32"/>
        </w:rPr>
        <w:t>6.监管责任（监管岗）：监督投诉处理后政府采购项目落实情况。</w:t>
      </w:r>
    </w:p>
    <w:p w14:paraId="7060A29A" w14:textId="77777777" w:rsidR="00C8561E" w:rsidRPr="000D4F8D" w:rsidRDefault="00C8561E" w:rsidP="00C8561E">
      <w:pPr>
        <w:widowControl/>
        <w:rPr>
          <w:rFonts w:ascii="仿宋_GB2312" w:eastAsia="仿宋_GB2312"/>
          <w:sz w:val="32"/>
          <w:szCs w:val="32"/>
        </w:rPr>
      </w:pPr>
      <w:r w:rsidRPr="00C8561E">
        <w:rPr>
          <w:rFonts w:ascii="仿宋_GB2312" w:eastAsia="仿宋_GB2312" w:hint="eastAsia"/>
          <w:sz w:val="32"/>
          <w:szCs w:val="32"/>
        </w:rPr>
        <w:t>7.其他法律法规规章文件规定应履行的责任（立卷归档）。</w:t>
      </w:r>
    </w:p>
    <w:p w14:paraId="356C1A03" w14:textId="77777777" w:rsidR="00C8561E" w:rsidRPr="00C8561E" w:rsidRDefault="00C8561E" w:rsidP="00C8561E">
      <w:pPr>
        <w:rPr>
          <w:rFonts w:ascii="仿宋_GB2312" w:eastAsia="仿宋_GB2312"/>
          <w:sz w:val="32"/>
          <w:szCs w:val="32"/>
        </w:rPr>
      </w:pPr>
    </w:p>
    <w:p w14:paraId="0F2EC839" w14:textId="77777777" w:rsidR="00C8561E" w:rsidRPr="00C8561E" w:rsidRDefault="00C8561E" w:rsidP="00C8561E">
      <w:pPr>
        <w:rPr>
          <w:rFonts w:ascii="仿宋_GB2312" w:eastAsia="仿宋_GB2312"/>
          <w:sz w:val="32"/>
          <w:szCs w:val="32"/>
        </w:rPr>
      </w:pPr>
      <w:r w:rsidRPr="00C8561E">
        <w:rPr>
          <w:rFonts w:ascii="仿宋_GB2312" w:eastAsia="仿宋_GB2312" w:hint="eastAsia"/>
          <w:sz w:val="32"/>
          <w:szCs w:val="32"/>
        </w:rPr>
        <w:t xml:space="preserve"> </w:t>
      </w:r>
    </w:p>
    <w:p w14:paraId="10C3F219" w14:textId="77777777" w:rsidR="00C8561E" w:rsidRDefault="00C8561E" w:rsidP="00C8561E"/>
    <w:p w14:paraId="482B762F" w14:textId="77777777" w:rsidR="00C8561E" w:rsidRDefault="00C8561E" w:rsidP="00C8561E">
      <w:r>
        <w:t xml:space="preserve"> </w:t>
      </w:r>
    </w:p>
    <w:p w14:paraId="16A87CC9" w14:textId="77777777" w:rsidR="00551CEE" w:rsidRPr="00C8561E" w:rsidRDefault="00551CEE"/>
    <w:sectPr w:rsidR="00551CEE" w:rsidRPr="00C85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6310" w14:textId="77777777" w:rsidR="001F087F" w:rsidRDefault="001F087F" w:rsidP="00A645BB">
      <w:r>
        <w:separator/>
      </w:r>
    </w:p>
  </w:endnote>
  <w:endnote w:type="continuationSeparator" w:id="0">
    <w:p w14:paraId="61FCDF01" w14:textId="77777777" w:rsidR="001F087F" w:rsidRDefault="001F087F" w:rsidP="00A6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F5A1" w14:textId="77777777" w:rsidR="001F087F" w:rsidRDefault="001F087F" w:rsidP="00A645BB">
      <w:r>
        <w:separator/>
      </w:r>
    </w:p>
  </w:footnote>
  <w:footnote w:type="continuationSeparator" w:id="0">
    <w:p w14:paraId="6F3A2C65" w14:textId="77777777" w:rsidR="001F087F" w:rsidRDefault="001F087F" w:rsidP="00A64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1E"/>
    <w:rsid w:val="00044AC1"/>
    <w:rsid w:val="000D4F8D"/>
    <w:rsid w:val="001F087F"/>
    <w:rsid w:val="002A7BE1"/>
    <w:rsid w:val="0034732C"/>
    <w:rsid w:val="00551CEE"/>
    <w:rsid w:val="007F32C4"/>
    <w:rsid w:val="007F6DE8"/>
    <w:rsid w:val="00A645BB"/>
    <w:rsid w:val="00AE2EB3"/>
    <w:rsid w:val="00B126CE"/>
    <w:rsid w:val="00B4004A"/>
    <w:rsid w:val="00B567B9"/>
    <w:rsid w:val="00B70474"/>
    <w:rsid w:val="00BA3293"/>
    <w:rsid w:val="00C8561E"/>
    <w:rsid w:val="00D7674A"/>
    <w:rsid w:val="00E33BE1"/>
    <w:rsid w:val="00EE5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097B3"/>
  <w15:chartTrackingRefBased/>
  <w15:docId w15:val="{6D52ABAD-0B20-4615-84A1-206667DB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5BB"/>
    <w:pPr>
      <w:tabs>
        <w:tab w:val="center" w:pos="4153"/>
        <w:tab w:val="right" w:pos="8306"/>
      </w:tabs>
      <w:snapToGrid w:val="0"/>
      <w:jc w:val="center"/>
    </w:pPr>
    <w:rPr>
      <w:sz w:val="18"/>
      <w:szCs w:val="18"/>
    </w:rPr>
  </w:style>
  <w:style w:type="character" w:customStyle="1" w:styleId="a4">
    <w:name w:val="页眉 字符"/>
    <w:basedOn w:val="a0"/>
    <w:link w:val="a3"/>
    <w:uiPriority w:val="99"/>
    <w:rsid w:val="00A645BB"/>
    <w:rPr>
      <w:sz w:val="18"/>
      <w:szCs w:val="18"/>
    </w:rPr>
  </w:style>
  <w:style w:type="paragraph" w:styleId="a5">
    <w:name w:val="footer"/>
    <w:basedOn w:val="a"/>
    <w:link w:val="a6"/>
    <w:uiPriority w:val="99"/>
    <w:unhideWhenUsed/>
    <w:rsid w:val="00A645BB"/>
    <w:pPr>
      <w:tabs>
        <w:tab w:val="center" w:pos="4153"/>
        <w:tab w:val="right" w:pos="8306"/>
      </w:tabs>
      <w:snapToGrid w:val="0"/>
      <w:jc w:val="left"/>
    </w:pPr>
    <w:rPr>
      <w:sz w:val="18"/>
      <w:szCs w:val="18"/>
    </w:rPr>
  </w:style>
  <w:style w:type="character" w:customStyle="1" w:styleId="a6">
    <w:name w:val="页脚 字符"/>
    <w:basedOn w:val="a0"/>
    <w:link w:val="a5"/>
    <w:uiPriority w:val="99"/>
    <w:rsid w:val="00A645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4259">
      <w:bodyDiv w:val="1"/>
      <w:marLeft w:val="0"/>
      <w:marRight w:val="0"/>
      <w:marTop w:val="0"/>
      <w:marBottom w:val="0"/>
      <w:divBdr>
        <w:top w:val="none" w:sz="0" w:space="0" w:color="auto"/>
        <w:left w:val="none" w:sz="0" w:space="0" w:color="auto"/>
        <w:bottom w:val="none" w:sz="0" w:space="0" w:color="auto"/>
        <w:right w:val="none" w:sz="0" w:space="0" w:color="auto"/>
      </w:divBdr>
    </w:div>
    <w:div w:id="214657203">
      <w:bodyDiv w:val="1"/>
      <w:marLeft w:val="0"/>
      <w:marRight w:val="0"/>
      <w:marTop w:val="0"/>
      <w:marBottom w:val="0"/>
      <w:divBdr>
        <w:top w:val="none" w:sz="0" w:space="0" w:color="auto"/>
        <w:left w:val="none" w:sz="0" w:space="0" w:color="auto"/>
        <w:bottom w:val="none" w:sz="0" w:space="0" w:color="auto"/>
        <w:right w:val="none" w:sz="0" w:space="0" w:color="auto"/>
      </w:divBdr>
    </w:div>
    <w:div w:id="796604390">
      <w:bodyDiv w:val="1"/>
      <w:marLeft w:val="0"/>
      <w:marRight w:val="0"/>
      <w:marTop w:val="0"/>
      <w:marBottom w:val="0"/>
      <w:divBdr>
        <w:top w:val="none" w:sz="0" w:space="0" w:color="auto"/>
        <w:left w:val="none" w:sz="0" w:space="0" w:color="auto"/>
        <w:bottom w:val="none" w:sz="0" w:space="0" w:color="auto"/>
        <w:right w:val="none" w:sz="0" w:space="0" w:color="auto"/>
      </w:divBdr>
    </w:div>
    <w:div w:id="1224634402">
      <w:bodyDiv w:val="1"/>
      <w:marLeft w:val="0"/>
      <w:marRight w:val="0"/>
      <w:marTop w:val="0"/>
      <w:marBottom w:val="0"/>
      <w:divBdr>
        <w:top w:val="none" w:sz="0" w:space="0" w:color="auto"/>
        <w:left w:val="none" w:sz="0" w:space="0" w:color="auto"/>
        <w:bottom w:val="none" w:sz="0" w:space="0" w:color="auto"/>
        <w:right w:val="none" w:sz="0" w:space="0" w:color="auto"/>
      </w:divBdr>
    </w:div>
    <w:div w:id="1452241284">
      <w:bodyDiv w:val="1"/>
      <w:marLeft w:val="0"/>
      <w:marRight w:val="0"/>
      <w:marTop w:val="0"/>
      <w:marBottom w:val="0"/>
      <w:divBdr>
        <w:top w:val="none" w:sz="0" w:space="0" w:color="auto"/>
        <w:left w:val="none" w:sz="0" w:space="0" w:color="auto"/>
        <w:bottom w:val="none" w:sz="0" w:space="0" w:color="auto"/>
        <w:right w:val="none" w:sz="0" w:space="0" w:color="auto"/>
      </w:divBdr>
    </w:div>
    <w:div w:id="1708481152">
      <w:bodyDiv w:val="1"/>
      <w:marLeft w:val="0"/>
      <w:marRight w:val="0"/>
      <w:marTop w:val="0"/>
      <w:marBottom w:val="0"/>
      <w:divBdr>
        <w:top w:val="none" w:sz="0" w:space="0" w:color="auto"/>
        <w:left w:val="none" w:sz="0" w:space="0" w:color="auto"/>
        <w:bottom w:val="none" w:sz="0" w:space="0" w:color="auto"/>
        <w:right w:val="none" w:sz="0" w:space="0" w:color="auto"/>
      </w:divBdr>
      <w:divsChild>
        <w:div w:id="460421257">
          <w:marLeft w:val="0"/>
          <w:marRight w:val="0"/>
          <w:marTop w:val="0"/>
          <w:marBottom w:val="120"/>
          <w:divBdr>
            <w:top w:val="none" w:sz="0" w:space="0" w:color="auto"/>
            <w:left w:val="none" w:sz="0" w:space="0" w:color="auto"/>
            <w:bottom w:val="single" w:sz="6" w:space="0" w:color="818181"/>
            <w:right w:val="none" w:sz="0" w:space="0" w:color="auto"/>
          </w:divBdr>
          <w:divsChild>
            <w:div w:id="112528646">
              <w:marLeft w:val="0"/>
              <w:marRight w:val="0"/>
              <w:marTop w:val="0"/>
              <w:marBottom w:val="165"/>
              <w:divBdr>
                <w:top w:val="none" w:sz="0" w:space="0" w:color="auto"/>
                <w:left w:val="none" w:sz="0" w:space="0" w:color="auto"/>
                <w:bottom w:val="none" w:sz="0" w:space="0" w:color="auto"/>
                <w:right w:val="none" w:sz="0" w:space="0" w:color="auto"/>
              </w:divBdr>
            </w:div>
          </w:divsChild>
        </w:div>
        <w:div w:id="1224098470">
          <w:marLeft w:val="0"/>
          <w:marRight w:val="0"/>
          <w:marTop w:val="0"/>
          <w:marBottom w:val="0"/>
          <w:divBdr>
            <w:top w:val="none" w:sz="0" w:space="0" w:color="auto"/>
            <w:left w:val="none" w:sz="0" w:space="0" w:color="auto"/>
            <w:bottom w:val="dotted" w:sz="6" w:space="15" w:color="666666"/>
            <w:right w:val="none" w:sz="0" w:space="0" w:color="auto"/>
          </w:divBdr>
        </w:div>
      </w:divsChild>
    </w:div>
    <w:div w:id="1866404429">
      <w:bodyDiv w:val="1"/>
      <w:marLeft w:val="0"/>
      <w:marRight w:val="0"/>
      <w:marTop w:val="0"/>
      <w:marBottom w:val="0"/>
      <w:divBdr>
        <w:top w:val="none" w:sz="0" w:space="0" w:color="auto"/>
        <w:left w:val="none" w:sz="0" w:space="0" w:color="auto"/>
        <w:bottom w:val="none" w:sz="0" w:space="0" w:color="auto"/>
        <w:right w:val="none" w:sz="0" w:space="0" w:color="auto"/>
      </w:divBdr>
    </w:div>
    <w:div w:id="19135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711</Words>
  <Characters>712</Characters>
  <Application>Microsoft Office Word</Application>
  <DocSecurity>0</DocSecurity>
  <Lines>41</Lines>
  <Paragraphs>79</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LI</dc:creator>
  <cp:keywords/>
  <dc:description/>
  <cp:lastModifiedBy>YUAN LI</cp:lastModifiedBy>
  <cp:revision>9</cp:revision>
  <dcterms:created xsi:type="dcterms:W3CDTF">2024-01-08T02:18:00Z</dcterms:created>
  <dcterms:modified xsi:type="dcterms:W3CDTF">2024-01-22T08:53:00Z</dcterms:modified>
</cp:coreProperties>
</file>