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0" w:firstLineChars="0"/>
        <w:rPr>
          <w:rFonts w:hint="eastAsia" w:ascii="方正大黑简体" w:hAnsi="方正大黑简体" w:eastAsia="方正大黑简体" w:cs="方正大黑简体"/>
          <w:color w:val="auto"/>
          <w:spacing w:val="34"/>
          <w:sz w:val="28"/>
        </w:rPr>
      </w:pPr>
      <w:bookmarkStart w:id="0" w:name="_Toc446057888"/>
      <w:r>
        <w:rPr>
          <w:rFonts w:hint="eastAsia" w:ascii="方正大黑简体" w:hAnsi="方正大黑简体" w:eastAsia="方正大黑简体" w:cs="方正大黑简体"/>
          <w:color w:val="auto"/>
          <w:spacing w:val="79"/>
          <w:sz w:val="28"/>
        </w:rPr>
        <w:t>三门峡市</w:t>
      </w:r>
      <w:r>
        <w:rPr>
          <w:rFonts w:hint="eastAsia" w:ascii="方正大黑简体" w:hAnsi="方正大黑简体" w:eastAsia="方正大黑简体" w:cs="方正大黑简体"/>
          <w:color w:val="auto"/>
          <w:spacing w:val="79"/>
          <w:sz w:val="28"/>
          <w:lang w:val="en-US" w:eastAsia="zh-CN"/>
        </w:rPr>
        <w:t>八</w:t>
      </w:r>
      <w:r>
        <w:rPr>
          <w:rFonts w:hint="eastAsia" w:ascii="方正大黑简体" w:hAnsi="方正大黑简体" w:eastAsia="方正大黑简体" w:cs="方正大黑简体"/>
          <w:color w:val="auto"/>
          <w:spacing w:val="79"/>
          <w:sz w:val="28"/>
        </w:rPr>
        <w:t>届人大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baseline"/>
        <w:rPr>
          <w:rFonts w:hint="eastAsia" w:ascii="方正大黑简体" w:hAnsi="方正大黑简体" w:eastAsia="方正大黑简体" w:cs="方正大黑简体"/>
          <w:color w:val="auto"/>
          <w:spacing w:val="0"/>
          <w:sz w:val="28"/>
          <w:lang w:val="en-US" w:eastAsia="zh-CN"/>
        </w:rPr>
      </w:pPr>
      <w:r>
        <w:rPr>
          <w:rFonts w:hint="eastAsia" w:ascii="方正大黑简体" w:hAnsi="方正大黑简体" w:eastAsia="方正大黑简体" w:cs="方正大黑简体"/>
          <w:color w:val="auto"/>
          <w:spacing w:val="0"/>
          <w:sz w:val="28"/>
          <w:lang w:eastAsia="zh-CN"/>
        </w:rPr>
        <w:t>三</w:t>
      </w:r>
      <w:r>
        <w:rPr>
          <w:rFonts w:hint="eastAsia" w:ascii="方正大黑简体" w:hAnsi="方正大黑简体" w:eastAsia="方正大黑简体" w:cs="方正大黑简体"/>
          <w:color w:val="auto"/>
          <w:spacing w:val="0"/>
          <w:sz w:val="28"/>
        </w:rPr>
        <w:t>次会议文件</w:t>
      </w:r>
      <w:bookmarkStart w:id="8" w:name="_GoBack"/>
      <w:r>
        <w:rPr>
          <w:rFonts w:hint="eastAsia" w:ascii="方正大黑简体" w:hAnsi="方正大黑简体" w:eastAsia="方正大黑简体" w:cs="方正大黑简体"/>
          <w:b/>
          <w:bCs/>
          <w:color w:val="auto"/>
          <w:spacing w:val="0"/>
          <w:sz w:val="28"/>
          <w:lang w:eastAsia="zh-CN"/>
        </w:rPr>
        <w:t>（</w:t>
      </w:r>
      <w:bookmarkEnd w:id="8"/>
      <w:r>
        <w:rPr>
          <w:rFonts w:hint="eastAsia" w:ascii="方正大黑简体" w:hAnsi="方正大黑简体" w:eastAsia="方正大黑简体" w:cs="方正大黑简体"/>
          <w:color w:val="auto"/>
          <w:spacing w:val="0"/>
          <w:sz w:val="28"/>
          <w:lang w:val="en-US" w:eastAsia="zh-CN"/>
        </w:rPr>
        <w:t>13</w:t>
      </w:r>
      <w:r>
        <w:rPr>
          <w:rFonts w:hint="eastAsia" w:ascii="方正大黑简体" w:hAnsi="方正大黑简体" w:eastAsia="方正大黑简体" w:cs="方正大黑简体"/>
          <w:b/>
          <w:bCs/>
          <w:color w:val="auto"/>
          <w:spacing w:val="0"/>
          <w:sz w:val="28"/>
          <w:lang w:val="en-US" w:eastAsia="zh-CN"/>
        </w:rPr>
        <w:t>）</w:t>
      </w:r>
      <w:r>
        <w:rPr>
          <w:rFonts w:hint="eastAsia" w:ascii="方正大黑简体" w:hAnsi="方正大黑简体" w:eastAsia="方正大黑简体" w:cs="方正大黑简体"/>
          <w:color w:val="auto"/>
          <w:spacing w:val="0"/>
          <w:sz w:val="28"/>
          <w:lang w:val="en-US" w:eastAsia="zh-CN"/>
        </w:rPr>
        <w:t>附件1</w:t>
      </w:r>
    </w:p>
    <w:p>
      <w:pP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</w:p>
    <w:p>
      <w:pP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</w:p>
    <w:p>
      <w:pP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</w:p>
    <w:p>
      <w:pP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</w:p>
    <w:p>
      <w:pPr>
        <w:spacing w:line="900" w:lineRule="exact"/>
        <w:jc w:val="center"/>
        <w:rPr>
          <w:rFonts w:hint="default" w:ascii="Times New Roman" w:hAnsi="Times New Roman" w:eastAsia="方正大标宋简体" w:cs="Times New Roman"/>
          <w:color w:val="auto"/>
          <w:spacing w:val="-6"/>
          <w:kern w:val="0"/>
          <w:sz w:val="48"/>
          <w:szCs w:val="48"/>
        </w:rPr>
      </w:pPr>
      <w:r>
        <w:rPr>
          <w:rFonts w:hint="default" w:ascii="Times New Roman" w:hAnsi="Times New Roman" w:eastAsia="方正大标宋简体" w:cs="Times New Roman"/>
          <w:color w:val="auto"/>
          <w:spacing w:val="-6"/>
          <w:kern w:val="0"/>
          <w:sz w:val="48"/>
          <w:szCs w:val="48"/>
        </w:rPr>
        <w:t>三门峡市</w:t>
      </w:r>
      <w:r>
        <w:rPr>
          <w:rFonts w:hint="default" w:ascii="Times New Roman" w:hAnsi="Times New Roman" w:eastAsia="方正大标宋简体" w:cs="Times New Roman"/>
          <w:color w:val="auto"/>
          <w:spacing w:val="-6"/>
          <w:kern w:val="0"/>
          <w:sz w:val="48"/>
          <w:szCs w:val="48"/>
          <w:lang w:eastAsia="zh-CN"/>
        </w:rPr>
        <w:t>2023年</w:t>
      </w:r>
      <w:r>
        <w:rPr>
          <w:rFonts w:hint="default" w:ascii="Times New Roman" w:hAnsi="Times New Roman" w:eastAsia="方正大标宋简体" w:cs="Times New Roman"/>
          <w:color w:val="auto"/>
          <w:spacing w:val="-6"/>
          <w:kern w:val="0"/>
          <w:sz w:val="48"/>
          <w:szCs w:val="48"/>
        </w:rPr>
        <w:t>全市财政预算执行情况</w:t>
      </w:r>
    </w:p>
    <w:p>
      <w:pPr>
        <w:spacing w:line="700" w:lineRule="exact"/>
        <w:rPr>
          <w:rFonts w:hint="default" w:ascii="Times New Roman" w:hAnsi="Times New Roman" w:eastAsia="方正大标宋简体" w:cs="Times New Roman"/>
          <w:color w:val="auto"/>
          <w:kern w:val="0"/>
          <w:sz w:val="44"/>
          <w:szCs w:val="44"/>
        </w:rPr>
      </w:pPr>
    </w:p>
    <w:p>
      <w:pP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color w:val="auto"/>
          <w:kern w:val="0"/>
          <w:sz w:val="32"/>
          <w:szCs w:val="32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color w:val="auto"/>
          <w:kern w:val="0"/>
          <w:sz w:val="32"/>
          <w:szCs w:val="32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color w:val="auto"/>
          <w:kern w:val="0"/>
          <w:sz w:val="32"/>
          <w:szCs w:val="32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color w:val="auto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cs="Times New Roman"/>
          <w:b/>
          <w:bCs/>
          <w:color w:val="auto"/>
          <w:kern w:val="0"/>
          <w:sz w:val="32"/>
          <w:szCs w:val="32"/>
        </w:rPr>
      </w:pPr>
    </w:p>
    <w:p>
      <w:pPr>
        <w:pStyle w:val="4"/>
        <w:rPr>
          <w:rFonts w:hint="default" w:ascii="Times New Roman" w:hAnsi="Times New Roman" w:eastAsia="楷体_GB2312" w:cs="Times New Roman"/>
          <w:b/>
          <w:bCs w:val="0"/>
          <w:color w:val="auto"/>
          <w:spacing w:val="20"/>
          <w:sz w:val="36"/>
          <w:szCs w:val="36"/>
          <w:lang w:eastAsia="zh-CN"/>
        </w:rPr>
      </w:pPr>
      <w:r>
        <w:rPr>
          <w:rFonts w:hint="default" w:ascii="Times New Roman" w:hAnsi="Times New Roman" w:eastAsia="楷体_GB2312" w:cs="Times New Roman"/>
          <w:b/>
          <w:bCs w:val="0"/>
          <w:color w:val="auto"/>
          <w:spacing w:val="20"/>
          <w:sz w:val="36"/>
          <w:szCs w:val="36"/>
        </w:rPr>
        <w:t>二O二</w:t>
      </w:r>
      <w:r>
        <w:rPr>
          <w:rFonts w:hint="default" w:ascii="Times New Roman" w:hAnsi="Times New Roman" w:eastAsia="楷体_GB2312" w:cs="Times New Roman"/>
          <w:b/>
          <w:bCs w:val="0"/>
          <w:color w:val="auto"/>
          <w:spacing w:val="20"/>
          <w:sz w:val="36"/>
          <w:szCs w:val="36"/>
          <w:lang w:val="en-US" w:eastAsia="zh-CN"/>
        </w:rPr>
        <w:t>四</w:t>
      </w:r>
      <w:r>
        <w:rPr>
          <w:rFonts w:hint="default" w:ascii="Times New Roman" w:hAnsi="Times New Roman" w:eastAsia="楷体_GB2312" w:cs="Times New Roman"/>
          <w:b/>
          <w:bCs w:val="0"/>
          <w:color w:val="auto"/>
          <w:spacing w:val="20"/>
          <w:sz w:val="36"/>
          <w:szCs w:val="36"/>
        </w:rPr>
        <w:t>年</w:t>
      </w:r>
      <w:r>
        <w:rPr>
          <w:rFonts w:hint="eastAsia" w:eastAsia="楷体_GB2312" w:cs="Times New Roman"/>
          <w:b/>
          <w:bCs w:val="0"/>
          <w:color w:val="auto"/>
          <w:spacing w:val="20"/>
          <w:sz w:val="36"/>
          <w:szCs w:val="36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b/>
          <w:bCs w:val="0"/>
          <w:color w:val="auto"/>
          <w:spacing w:val="20"/>
          <w:sz w:val="36"/>
          <w:szCs w:val="36"/>
          <w:lang w:eastAsia="zh-CN"/>
        </w:rPr>
        <w:t>月</w:t>
      </w:r>
    </w:p>
    <w:p>
      <w:pPr>
        <w:rPr>
          <w:rFonts w:hint="default" w:ascii="Times New Roman" w:hAnsi="Times New Roman" w:eastAsia="楷体_GB2312" w:cs="Times New Roman"/>
          <w:b/>
          <w:bCs w:val="0"/>
          <w:color w:val="auto"/>
          <w:spacing w:val="20"/>
          <w:sz w:val="36"/>
          <w:szCs w:val="36"/>
          <w:lang w:eastAsia="zh-CN"/>
        </w:rPr>
      </w:pPr>
      <w:r>
        <w:rPr>
          <w:rFonts w:hint="default" w:ascii="Times New Roman" w:hAnsi="Times New Roman" w:cs="Times New Roman"/>
          <w:color w:val="auto"/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5012690</wp:posOffset>
                </wp:positionH>
                <wp:positionV relativeFrom="paragraph">
                  <wp:posOffset>306705</wp:posOffset>
                </wp:positionV>
                <wp:extent cx="729615" cy="530225"/>
                <wp:effectExtent l="0" t="0" r="13335" b="317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615" cy="53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4.7pt;margin-top:24.15pt;height:41.75pt;width:57.45pt;z-index:251660288;mso-width-relative:page;mso-height-relative:page;" fillcolor="#FFFFFF [3201]" filled="t" stroked="f" coordsize="21600,21600" o:gfxdata="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G9AdefVAAAACgEAAA8AAAAA&#10;AAAAAQAgAAAAIgAAAGRycy9kb3ducmV2LnhtbFBLAQIUABQAAAAIAIdO4kBpysbDUAIAAI4EAAAO&#10;AAAAAAAAAAEAIAAAACQBAABkcnMvZTJvRG9jLnhtbFBLBQYAAAAABgAGAFkBAADm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楷体_GB2312" w:cs="Times New Roman"/>
          <w:b/>
          <w:bCs w:val="0"/>
          <w:color w:val="auto"/>
          <w:spacing w:val="20"/>
          <w:sz w:val="36"/>
          <w:szCs w:val="36"/>
          <w:lang w:eastAsia="zh-CN"/>
        </w:rPr>
        <w:br w:type="page"/>
      </w:r>
      <w:r>
        <w:rPr>
          <w:rFonts w:hint="default" w:ascii="Times New Roman" w:hAnsi="Times New Roman" w:cs="Times New Roman"/>
          <w:color w:val="auto"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8209915</wp:posOffset>
                </wp:positionV>
                <wp:extent cx="729615" cy="530225"/>
                <wp:effectExtent l="0" t="0" r="13335" b="317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90905" y="9342120"/>
                          <a:ext cx="729615" cy="53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2.95pt;margin-top:646.45pt;height:41.75pt;width:57.45pt;z-index:251659264;mso-width-relative:page;mso-height-relative:page;" fillcolor="#FFFFFF [3201]" filled="t" stroked="f" coordsize="21600,21600" o:gfxdata="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ctiv3X&#10;AAAADAEAAA8AAAAAAAAAAQAgAAAAIgAAAGRycy9kb3ducmV2LnhtbFBLAQIUABQAAAAIAIdO4kDB&#10;8LfvWgIAAJkEAAAOAAAAAAAAAAEAIAAAACY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楷体_GB2312" w:cs="Times New Roman"/>
          <w:b/>
          <w:bCs w:val="0"/>
          <w:color w:val="auto"/>
          <w:spacing w:val="20"/>
          <w:sz w:val="36"/>
          <w:szCs w:val="36"/>
          <w:lang w:eastAsia="zh-CN"/>
        </w:rPr>
        <w:br w:type="page"/>
      </w:r>
    </w:p>
    <w:p>
      <w:pPr>
        <w:pStyle w:val="12"/>
        <w:rPr>
          <w:rFonts w:hint="default" w:ascii="Times New Roman" w:hAnsi="Times New Roman" w:cs="Times New Roman"/>
          <w:color w:val="auto"/>
        </w:rPr>
        <w:sectPr>
          <w:headerReference r:id="rId3" w:type="default"/>
          <w:footerReference r:id="rId4" w:type="default"/>
          <w:pgSz w:w="11906" w:h="16838"/>
          <w:pgMar w:top="1985" w:right="1644" w:bottom="1985" w:left="1644" w:header="851" w:footer="1531" w:gutter="0"/>
          <w:pgNumType w:fmt="decimal" w:start="25"/>
          <w:cols w:space="720" w:num="1"/>
          <w:docGrid w:type="lines" w:linePitch="312" w:charSpace="0"/>
        </w:sectPr>
      </w:pPr>
    </w:p>
    <w:p>
      <w:pPr>
        <w:ind w:right="23" w:rightChars="11"/>
        <w:jc w:val="center"/>
        <w:rPr>
          <w:rFonts w:hint="default" w:ascii="Times New Roman" w:hAnsi="Times New Roman" w:eastAsia="方正大标宋简体" w:cs="Times New Roman"/>
          <w:bCs/>
          <w:color w:val="auto"/>
          <w:spacing w:val="20"/>
          <w:sz w:val="40"/>
          <w:szCs w:val="40"/>
        </w:rPr>
      </w:pPr>
      <w:r>
        <w:rPr>
          <w:rFonts w:hint="default" w:ascii="Times New Roman" w:hAnsi="Times New Roman" w:eastAsia="方正大标宋简体" w:cs="Times New Roman"/>
          <w:bCs/>
          <w:color w:val="auto"/>
          <w:spacing w:val="20"/>
          <w:sz w:val="40"/>
          <w:szCs w:val="40"/>
        </w:rPr>
        <w:t>目  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23" w:rightChars="11"/>
        <w:jc w:val="center"/>
        <w:textAlignment w:val="auto"/>
        <w:rPr>
          <w:rFonts w:hint="default" w:ascii="Times New Roman" w:hAnsi="Times New Roman" w:eastAsia="方正大标宋简体" w:cs="Times New Roman"/>
          <w:bCs/>
          <w:color w:val="auto"/>
          <w:spacing w:val="20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tabs>
          <w:tab w:val="right" w:leader="dot" w:pos="86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21" w:rightChars="1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pacing w:val="-6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-6"/>
          <w:sz w:val="34"/>
          <w:szCs w:val="34"/>
        </w:rPr>
        <w:t>1．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-6"/>
          <w:sz w:val="34"/>
          <w:szCs w:val="34"/>
          <w:lang w:eastAsia="zh-CN"/>
        </w:rPr>
        <w:t>2023年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-6"/>
          <w:sz w:val="34"/>
          <w:szCs w:val="34"/>
        </w:rPr>
        <w:t>全市一般公共预算收入执行情况表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-6"/>
          <w:sz w:val="34"/>
          <w:szCs w:val="34"/>
        </w:rPr>
        <w:tab/>
      </w:r>
      <w:r>
        <w:rPr>
          <w:rFonts w:hint="eastAsia" w:eastAsia="仿宋_GB2312" w:cs="Times New Roman"/>
          <w:b/>
          <w:bCs/>
          <w:color w:val="auto"/>
          <w:spacing w:val="-6"/>
          <w:sz w:val="34"/>
          <w:szCs w:val="34"/>
          <w:lang w:val="en-US" w:eastAsia="zh-CN"/>
        </w:rPr>
        <w:t>13-25</w:t>
      </w:r>
    </w:p>
    <w:p>
      <w:pPr>
        <w:keepNext w:val="0"/>
        <w:keepLines w:val="0"/>
        <w:pageBreakBefore w:val="0"/>
        <w:widowControl w:val="0"/>
        <w:tabs>
          <w:tab w:val="right" w:leader="dot" w:pos="86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21" w:rightChars="10" w:firstLine="492" w:firstLineChars="15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pacing w:val="-6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pacing w:val="-6"/>
          <w:sz w:val="34"/>
          <w:szCs w:val="34"/>
        </w:rPr>
        <w:t>关于</w:t>
      </w:r>
      <w:r>
        <w:rPr>
          <w:rFonts w:hint="default" w:ascii="Times New Roman" w:hAnsi="Times New Roman" w:eastAsia="仿宋_GB2312" w:cs="Times New Roman"/>
          <w:bCs/>
          <w:color w:val="auto"/>
          <w:spacing w:val="-6"/>
          <w:sz w:val="34"/>
          <w:szCs w:val="34"/>
          <w:lang w:eastAsia="zh-CN"/>
        </w:rPr>
        <w:t>2023年</w:t>
      </w:r>
      <w:r>
        <w:rPr>
          <w:rFonts w:hint="default" w:ascii="Times New Roman" w:hAnsi="Times New Roman" w:eastAsia="仿宋_GB2312" w:cs="Times New Roman"/>
          <w:bCs/>
          <w:color w:val="auto"/>
          <w:spacing w:val="-6"/>
          <w:sz w:val="34"/>
          <w:szCs w:val="34"/>
        </w:rPr>
        <w:t>全市一般公共预算收入执行情况的说明</w:t>
      </w:r>
      <w:r>
        <w:rPr>
          <w:rFonts w:hint="default" w:ascii="Times New Roman" w:hAnsi="Times New Roman" w:eastAsia="仿宋_GB2312" w:cs="Times New Roman"/>
          <w:bCs/>
          <w:color w:val="auto"/>
          <w:spacing w:val="-6"/>
          <w:sz w:val="34"/>
          <w:szCs w:val="34"/>
        </w:rPr>
        <w:tab/>
      </w:r>
      <w:r>
        <w:rPr>
          <w:rFonts w:hint="eastAsia" w:eastAsia="仿宋_GB2312" w:cs="Times New Roman"/>
          <w:bCs/>
          <w:color w:val="auto"/>
          <w:spacing w:val="-6"/>
          <w:sz w:val="34"/>
          <w:szCs w:val="34"/>
          <w:lang w:val="en-US" w:eastAsia="zh-CN"/>
        </w:rPr>
        <w:t>13-26</w:t>
      </w:r>
    </w:p>
    <w:p>
      <w:pPr>
        <w:keepNext w:val="0"/>
        <w:keepLines w:val="0"/>
        <w:pageBreakBefore w:val="0"/>
        <w:widowControl w:val="0"/>
        <w:tabs>
          <w:tab w:val="right" w:leader="dot" w:pos="86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21" w:rightChars="1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pacing w:val="-6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-6"/>
          <w:sz w:val="34"/>
          <w:szCs w:val="34"/>
        </w:rPr>
        <w:t>2．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-6"/>
          <w:sz w:val="34"/>
          <w:szCs w:val="34"/>
          <w:lang w:eastAsia="zh-CN"/>
        </w:rPr>
        <w:t>2023年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-6"/>
          <w:sz w:val="34"/>
          <w:szCs w:val="34"/>
        </w:rPr>
        <w:t>全市一般公共预算支出执行情况表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-6"/>
          <w:sz w:val="34"/>
          <w:szCs w:val="34"/>
        </w:rPr>
        <w:tab/>
      </w:r>
      <w:r>
        <w:rPr>
          <w:rFonts w:hint="eastAsia" w:eastAsia="仿宋_GB2312" w:cs="Times New Roman"/>
          <w:b/>
          <w:bCs/>
          <w:color w:val="auto"/>
          <w:spacing w:val="-6"/>
          <w:sz w:val="34"/>
          <w:szCs w:val="34"/>
          <w:lang w:val="en-US" w:eastAsia="zh-CN"/>
        </w:rPr>
        <w:t>13-29</w:t>
      </w:r>
    </w:p>
    <w:p>
      <w:pPr>
        <w:keepNext w:val="0"/>
        <w:keepLines w:val="0"/>
        <w:pageBreakBefore w:val="0"/>
        <w:widowControl w:val="0"/>
        <w:tabs>
          <w:tab w:val="right" w:leader="dot" w:pos="86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21" w:rightChars="10" w:firstLine="459" w:firstLineChars="15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pacing w:val="-6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pacing w:val="-17"/>
          <w:sz w:val="34"/>
          <w:szCs w:val="34"/>
        </w:rPr>
        <w:t>关于</w:t>
      </w:r>
      <w:r>
        <w:rPr>
          <w:rFonts w:hint="default" w:ascii="Times New Roman" w:hAnsi="Times New Roman" w:eastAsia="仿宋_GB2312" w:cs="Times New Roman"/>
          <w:bCs/>
          <w:color w:val="auto"/>
          <w:spacing w:val="-17"/>
          <w:sz w:val="34"/>
          <w:szCs w:val="34"/>
          <w:lang w:eastAsia="zh-CN"/>
        </w:rPr>
        <w:t>2023年</w:t>
      </w:r>
      <w:r>
        <w:rPr>
          <w:rFonts w:hint="default" w:ascii="Times New Roman" w:hAnsi="Times New Roman" w:eastAsia="仿宋_GB2312" w:cs="Times New Roman"/>
          <w:bCs/>
          <w:color w:val="auto"/>
          <w:spacing w:val="-17"/>
          <w:sz w:val="34"/>
          <w:szCs w:val="34"/>
        </w:rPr>
        <w:t>全市一般公共预算支出执行情况的说明</w:t>
      </w:r>
      <w:r>
        <w:rPr>
          <w:rFonts w:hint="default" w:ascii="Times New Roman" w:hAnsi="Times New Roman" w:eastAsia="仿宋_GB2312" w:cs="Times New Roman"/>
          <w:bCs/>
          <w:color w:val="auto"/>
          <w:spacing w:val="-6"/>
          <w:sz w:val="34"/>
          <w:szCs w:val="34"/>
        </w:rPr>
        <w:tab/>
      </w:r>
      <w:r>
        <w:rPr>
          <w:rFonts w:hint="eastAsia" w:eastAsia="仿宋_GB2312" w:cs="Times New Roman"/>
          <w:bCs/>
          <w:color w:val="auto"/>
          <w:spacing w:val="-6"/>
          <w:sz w:val="34"/>
          <w:szCs w:val="34"/>
          <w:lang w:val="en-US" w:eastAsia="zh-CN"/>
        </w:rPr>
        <w:t>13-30</w:t>
      </w:r>
    </w:p>
    <w:p>
      <w:pPr>
        <w:keepNext w:val="0"/>
        <w:keepLines w:val="0"/>
        <w:pageBreakBefore w:val="0"/>
        <w:widowControl w:val="0"/>
        <w:tabs>
          <w:tab w:val="right" w:leader="dot" w:pos="86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21" w:rightChars="1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pacing w:val="-6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-6"/>
          <w:sz w:val="34"/>
          <w:szCs w:val="34"/>
        </w:rPr>
        <w:t>3．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-6"/>
          <w:sz w:val="34"/>
          <w:szCs w:val="34"/>
          <w:lang w:eastAsia="zh-CN"/>
        </w:rPr>
        <w:t>2023年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-6"/>
          <w:sz w:val="34"/>
          <w:szCs w:val="34"/>
        </w:rPr>
        <w:t>市级一般公共预算收入执行情况表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-6"/>
          <w:sz w:val="34"/>
          <w:szCs w:val="34"/>
        </w:rPr>
        <w:tab/>
      </w:r>
      <w:r>
        <w:rPr>
          <w:rFonts w:hint="eastAsia" w:eastAsia="仿宋_GB2312" w:cs="Times New Roman"/>
          <w:b/>
          <w:bCs/>
          <w:color w:val="auto"/>
          <w:spacing w:val="-6"/>
          <w:sz w:val="34"/>
          <w:szCs w:val="34"/>
          <w:lang w:val="en-US" w:eastAsia="zh-CN"/>
        </w:rPr>
        <w:t>13-33</w:t>
      </w:r>
    </w:p>
    <w:p>
      <w:pPr>
        <w:keepNext w:val="0"/>
        <w:keepLines w:val="0"/>
        <w:pageBreakBefore w:val="0"/>
        <w:widowControl w:val="0"/>
        <w:tabs>
          <w:tab w:val="right" w:leader="dot" w:pos="86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21" w:rightChars="10" w:firstLine="477" w:firstLineChars="15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pacing w:val="-6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pacing w:val="-11"/>
          <w:sz w:val="34"/>
          <w:szCs w:val="34"/>
        </w:rPr>
        <w:t>关于</w:t>
      </w:r>
      <w:r>
        <w:rPr>
          <w:rFonts w:hint="default" w:ascii="Times New Roman" w:hAnsi="Times New Roman" w:eastAsia="仿宋_GB2312" w:cs="Times New Roman"/>
          <w:bCs/>
          <w:color w:val="auto"/>
          <w:spacing w:val="-11"/>
          <w:sz w:val="34"/>
          <w:szCs w:val="34"/>
          <w:lang w:eastAsia="zh-CN"/>
        </w:rPr>
        <w:t>2023年</w:t>
      </w:r>
      <w:r>
        <w:rPr>
          <w:rFonts w:hint="default" w:ascii="Times New Roman" w:hAnsi="Times New Roman" w:eastAsia="仿宋_GB2312" w:cs="Times New Roman"/>
          <w:bCs/>
          <w:color w:val="auto"/>
          <w:spacing w:val="-11"/>
          <w:sz w:val="34"/>
          <w:szCs w:val="34"/>
        </w:rPr>
        <w:t>市级一般公共预算收入执行情况的说明</w:t>
      </w:r>
      <w:r>
        <w:rPr>
          <w:rFonts w:hint="default" w:ascii="Times New Roman" w:hAnsi="Times New Roman" w:eastAsia="仿宋_GB2312" w:cs="Times New Roman"/>
          <w:bCs/>
          <w:color w:val="auto"/>
          <w:spacing w:val="-11"/>
          <w:sz w:val="34"/>
          <w:szCs w:val="34"/>
        </w:rPr>
        <w:tab/>
      </w:r>
      <w:r>
        <w:rPr>
          <w:rFonts w:hint="eastAsia" w:eastAsia="仿宋_GB2312" w:cs="Times New Roman"/>
          <w:bCs/>
          <w:color w:val="auto"/>
          <w:spacing w:val="-11"/>
          <w:sz w:val="34"/>
          <w:szCs w:val="34"/>
          <w:lang w:val="en-US" w:eastAsia="zh-CN"/>
        </w:rPr>
        <w:t>13-34</w:t>
      </w:r>
    </w:p>
    <w:p>
      <w:pPr>
        <w:keepNext w:val="0"/>
        <w:keepLines w:val="0"/>
        <w:pageBreakBefore w:val="0"/>
        <w:widowControl w:val="0"/>
        <w:tabs>
          <w:tab w:val="right" w:leader="dot" w:pos="86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21" w:rightChars="1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pacing w:val="-6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-6"/>
          <w:sz w:val="34"/>
          <w:szCs w:val="34"/>
        </w:rPr>
        <w:t>4．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-6"/>
          <w:sz w:val="34"/>
          <w:szCs w:val="34"/>
          <w:lang w:eastAsia="zh-CN"/>
        </w:rPr>
        <w:t>2023年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-6"/>
          <w:sz w:val="34"/>
          <w:szCs w:val="34"/>
        </w:rPr>
        <w:t>市级一般公共预算支出执行情况表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-6"/>
          <w:sz w:val="34"/>
          <w:szCs w:val="34"/>
        </w:rPr>
        <w:tab/>
      </w:r>
      <w:r>
        <w:rPr>
          <w:rFonts w:hint="eastAsia" w:eastAsia="仿宋_GB2312" w:cs="Times New Roman"/>
          <w:b/>
          <w:bCs/>
          <w:color w:val="auto"/>
          <w:spacing w:val="-6"/>
          <w:sz w:val="34"/>
          <w:szCs w:val="34"/>
          <w:lang w:val="en-US" w:eastAsia="zh-CN"/>
        </w:rPr>
        <w:t>13-36</w:t>
      </w:r>
    </w:p>
    <w:p>
      <w:pPr>
        <w:keepNext w:val="0"/>
        <w:keepLines w:val="0"/>
        <w:pageBreakBefore w:val="0"/>
        <w:widowControl w:val="0"/>
        <w:tabs>
          <w:tab w:val="right" w:leader="dot" w:pos="86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21" w:rightChars="10" w:firstLine="459" w:firstLineChars="15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pacing w:val="-6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pacing w:val="-17"/>
          <w:sz w:val="34"/>
          <w:szCs w:val="34"/>
        </w:rPr>
        <w:t>关于</w:t>
      </w:r>
      <w:r>
        <w:rPr>
          <w:rFonts w:hint="default" w:ascii="Times New Roman" w:hAnsi="Times New Roman" w:eastAsia="仿宋_GB2312" w:cs="Times New Roman"/>
          <w:bCs/>
          <w:color w:val="auto"/>
          <w:spacing w:val="-17"/>
          <w:sz w:val="34"/>
          <w:szCs w:val="34"/>
          <w:lang w:eastAsia="zh-CN"/>
        </w:rPr>
        <w:t>2023年</w:t>
      </w:r>
      <w:r>
        <w:rPr>
          <w:rFonts w:hint="default" w:ascii="Times New Roman" w:hAnsi="Times New Roman" w:eastAsia="仿宋_GB2312" w:cs="Times New Roman"/>
          <w:bCs/>
          <w:color w:val="auto"/>
          <w:spacing w:val="-17"/>
          <w:sz w:val="34"/>
          <w:szCs w:val="34"/>
        </w:rPr>
        <w:t>市级一般公共预算支出执行情况的说明</w:t>
      </w:r>
      <w:r>
        <w:rPr>
          <w:rFonts w:hint="default" w:ascii="Times New Roman" w:hAnsi="Times New Roman" w:eastAsia="仿宋_GB2312" w:cs="Times New Roman"/>
          <w:bCs/>
          <w:color w:val="auto"/>
          <w:spacing w:val="-6"/>
          <w:sz w:val="34"/>
          <w:szCs w:val="34"/>
        </w:rPr>
        <w:tab/>
      </w:r>
      <w:r>
        <w:rPr>
          <w:rFonts w:hint="eastAsia" w:eastAsia="仿宋_GB2312" w:cs="Times New Roman"/>
          <w:bCs/>
          <w:color w:val="auto"/>
          <w:spacing w:val="-6"/>
          <w:sz w:val="34"/>
          <w:szCs w:val="34"/>
          <w:lang w:val="en-US" w:eastAsia="zh-CN"/>
        </w:rPr>
        <w:t>13-37</w:t>
      </w:r>
    </w:p>
    <w:p>
      <w:pPr>
        <w:keepNext w:val="0"/>
        <w:keepLines w:val="0"/>
        <w:pageBreakBefore w:val="0"/>
        <w:widowControl w:val="0"/>
        <w:tabs>
          <w:tab w:val="right" w:leader="dot" w:pos="86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21" w:rightChars="1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pacing w:val="-6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-6"/>
          <w:sz w:val="34"/>
          <w:szCs w:val="34"/>
        </w:rPr>
        <w:t>5．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-6"/>
          <w:sz w:val="34"/>
          <w:szCs w:val="34"/>
          <w:lang w:eastAsia="zh-CN"/>
        </w:rPr>
        <w:t>2023年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-6"/>
          <w:sz w:val="34"/>
          <w:szCs w:val="34"/>
        </w:rPr>
        <w:t>全市政府性基金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-6"/>
          <w:sz w:val="34"/>
          <w:szCs w:val="34"/>
          <w:lang w:eastAsia="zh-CN"/>
        </w:rPr>
        <w:t>预算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-6"/>
          <w:sz w:val="34"/>
          <w:szCs w:val="34"/>
        </w:rPr>
        <w:t>收入执行情况表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-6"/>
          <w:sz w:val="34"/>
          <w:szCs w:val="34"/>
        </w:rPr>
        <w:tab/>
      </w:r>
      <w:r>
        <w:rPr>
          <w:rFonts w:hint="eastAsia" w:eastAsia="仿宋_GB2312" w:cs="Times New Roman"/>
          <w:b/>
          <w:bCs/>
          <w:color w:val="auto"/>
          <w:spacing w:val="-6"/>
          <w:sz w:val="34"/>
          <w:szCs w:val="34"/>
          <w:lang w:val="en-US" w:eastAsia="zh-CN"/>
        </w:rPr>
        <w:t>13-40</w:t>
      </w:r>
    </w:p>
    <w:p>
      <w:pPr>
        <w:keepNext w:val="0"/>
        <w:keepLines w:val="0"/>
        <w:pageBreakBefore w:val="0"/>
        <w:widowControl w:val="0"/>
        <w:tabs>
          <w:tab w:val="right" w:leader="dot" w:pos="86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21" w:rightChars="10" w:firstLine="492" w:firstLineChars="15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pacing w:val="-6"/>
          <w:sz w:val="34"/>
          <w:szCs w:val="34"/>
          <w:lang w:val="en-US"/>
        </w:rPr>
      </w:pPr>
      <w:r>
        <w:rPr>
          <w:rFonts w:hint="default" w:ascii="Times New Roman" w:hAnsi="Times New Roman" w:eastAsia="仿宋_GB2312" w:cs="Times New Roman"/>
          <w:bCs/>
          <w:color w:val="auto"/>
          <w:spacing w:val="-6"/>
          <w:sz w:val="34"/>
          <w:szCs w:val="34"/>
        </w:rPr>
        <w:t>关</w:t>
      </w:r>
      <w:r>
        <w:rPr>
          <w:rFonts w:hint="default" w:ascii="Times New Roman" w:hAnsi="Times New Roman" w:eastAsia="仿宋_GB2312" w:cs="Times New Roman"/>
          <w:bCs/>
          <w:color w:val="auto"/>
          <w:spacing w:val="-17"/>
          <w:sz w:val="34"/>
          <w:szCs w:val="34"/>
        </w:rPr>
        <w:t>于</w:t>
      </w:r>
      <w:r>
        <w:rPr>
          <w:rFonts w:hint="default" w:ascii="Times New Roman" w:hAnsi="Times New Roman" w:eastAsia="仿宋_GB2312" w:cs="Times New Roman"/>
          <w:bCs/>
          <w:color w:val="auto"/>
          <w:spacing w:val="-17"/>
          <w:sz w:val="34"/>
          <w:szCs w:val="34"/>
          <w:lang w:eastAsia="zh-CN"/>
        </w:rPr>
        <w:t>2023年</w:t>
      </w:r>
      <w:r>
        <w:rPr>
          <w:rFonts w:hint="default" w:ascii="Times New Roman" w:hAnsi="Times New Roman" w:eastAsia="仿宋_GB2312" w:cs="Times New Roman"/>
          <w:bCs/>
          <w:color w:val="auto"/>
          <w:spacing w:val="-17"/>
          <w:sz w:val="34"/>
          <w:szCs w:val="34"/>
        </w:rPr>
        <w:t>全市政府性基金</w:t>
      </w:r>
      <w:r>
        <w:rPr>
          <w:rFonts w:hint="default" w:ascii="Times New Roman" w:hAnsi="Times New Roman" w:eastAsia="仿宋_GB2312" w:cs="Times New Roman"/>
          <w:bCs/>
          <w:color w:val="auto"/>
          <w:spacing w:val="-17"/>
          <w:sz w:val="34"/>
          <w:szCs w:val="34"/>
          <w:lang w:eastAsia="zh-CN"/>
        </w:rPr>
        <w:t>预算</w:t>
      </w:r>
      <w:r>
        <w:rPr>
          <w:rFonts w:hint="default" w:ascii="Times New Roman" w:hAnsi="Times New Roman" w:eastAsia="仿宋_GB2312" w:cs="Times New Roman"/>
          <w:bCs/>
          <w:color w:val="auto"/>
          <w:spacing w:val="-17"/>
          <w:sz w:val="34"/>
          <w:szCs w:val="34"/>
        </w:rPr>
        <w:t>收入执行情况的说明</w:t>
      </w:r>
      <w:r>
        <w:rPr>
          <w:rFonts w:hint="default" w:ascii="Times New Roman" w:hAnsi="Times New Roman" w:eastAsia="仿宋_GB2312" w:cs="Times New Roman"/>
          <w:bCs/>
          <w:color w:val="auto"/>
          <w:spacing w:val="-6"/>
          <w:sz w:val="34"/>
          <w:szCs w:val="34"/>
          <w:lang w:val="en-US" w:eastAsia="zh-CN"/>
        </w:rPr>
        <w:tab/>
      </w:r>
      <w:r>
        <w:rPr>
          <w:rFonts w:hint="eastAsia" w:eastAsia="仿宋_GB2312" w:cs="Times New Roman"/>
          <w:bCs/>
          <w:color w:val="auto"/>
          <w:spacing w:val="-6"/>
          <w:sz w:val="34"/>
          <w:szCs w:val="34"/>
          <w:lang w:val="en-US" w:eastAsia="zh-CN"/>
        </w:rPr>
        <w:t>13-41</w:t>
      </w:r>
    </w:p>
    <w:p>
      <w:pPr>
        <w:keepNext w:val="0"/>
        <w:keepLines w:val="0"/>
        <w:pageBreakBefore w:val="0"/>
        <w:widowControl w:val="0"/>
        <w:tabs>
          <w:tab w:val="right" w:leader="dot" w:pos="86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21" w:rightChars="1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pacing w:val="-6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-6"/>
          <w:sz w:val="34"/>
          <w:szCs w:val="34"/>
        </w:rPr>
        <w:t>6．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-6"/>
          <w:sz w:val="34"/>
          <w:szCs w:val="34"/>
          <w:lang w:eastAsia="zh-CN"/>
        </w:rPr>
        <w:t>2023年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-6"/>
          <w:sz w:val="34"/>
          <w:szCs w:val="34"/>
        </w:rPr>
        <w:t>全市政府性基金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-6"/>
          <w:sz w:val="34"/>
          <w:szCs w:val="34"/>
          <w:lang w:eastAsia="zh-CN"/>
        </w:rPr>
        <w:t>预算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-6"/>
          <w:sz w:val="34"/>
          <w:szCs w:val="34"/>
        </w:rPr>
        <w:t>支出执行情况表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-6"/>
          <w:sz w:val="34"/>
          <w:szCs w:val="34"/>
        </w:rPr>
        <w:tab/>
      </w:r>
      <w:r>
        <w:rPr>
          <w:rFonts w:hint="eastAsia" w:eastAsia="仿宋_GB2312" w:cs="Times New Roman"/>
          <w:b/>
          <w:bCs/>
          <w:color w:val="auto"/>
          <w:spacing w:val="-6"/>
          <w:sz w:val="34"/>
          <w:szCs w:val="34"/>
          <w:lang w:val="en-US" w:eastAsia="zh-CN"/>
        </w:rPr>
        <w:t>13-42</w:t>
      </w:r>
    </w:p>
    <w:p>
      <w:pPr>
        <w:keepNext w:val="0"/>
        <w:keepLines w:val="0"/>
        <w:pageBreakBefore w:val="0"/>
        <w:widowControl w:val="0"/>
        <w:tabs>
          <w:tab w:val="right" w:leader="dot" w:pos="86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21" w:rightChars="10" w:firstLine="492" w:firstLineChars="15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pacing w:val="-6"/>
          <w:sz w:val="34"/>
          <w:szCs w:val="34"/>
          <w:lang w:val="en-US"/>
        </w:rPr>
      </w:pPr>
      <w:r>
        <w:rPr>
          <w:rFonts w:hint="default" w:ascii="Times New Roman" w:hAnsi="Times New Roman" w:eastAsia="仿宋_GB2312" w:cs="Times New Roman"/>
          <w:bCs/>
          <w:color w:val="auto"/>
          <w:spacing w:val="-6"/>
          <w:sz w:val="34"/>
          <w:szCs w:val="34"/>
        </w:rPr>
        <w:t>关</w:t>
      </w:r>
      <w:r>
        <w:rPr>
          <w:rFonts w:hint="default" w:ascii="Times New Roman" w:hAnsi="Times New Roman" w:eastAsia="仿宋_GB2312" w:cs="Times New Roman"/>
          <w:bCs/>
          <w:color w:val="auto"/>
          <w:spacing w:val="-17"/>
          <w:sz w:val="34"/>
          <w:szCs w:val="34"/>
        </w:rPr>
        <w:t>于</w:t>
      </w:r>
      <w:r>
        <w:rPr>
          <w:rFonts w:hint="default" w:ascii="Times New Roman" w:hAnsi="Times New Roman" w:eastAsia="仿宋_GB2312" w:cs="Times New Roman"/>
          <w:bCs/>
          <w:color w:val="auto"/>
          <w:spacing w:val="-17"/>
          <w:sz w:val="34"/>
          <w:szCs w:val="34"/>
          <w:lang w:eastAsia="zh-CN"/>
        </w:rPr>
        <w:t>2023年</w:t>
      </w:r>
      <w:r>
        <w:rPr>
          <w:rFonts w:hint="default" w:ascii="Times New Roman" w:hAnsi="Times New Roman" w:eastAsia="仿宋_GB2312" w:cs="Times New Roman"/>
          <w:bCs/>
          <w:color w:val="auto"/>
          <w:spacing w:val="-17"/>
          <w:sz w:val="34"/>
          <w:szCs w:val="34"/>
        </w:rPr>
        <w:t>全市政府性基金</w:t>
      </w:r>
      <w:r>
        <w:rPr>
          <w:rFonts w:hint="default" w:ascii="Times New Roman" w:hAnsi="Times New Roman" w:eastAsia="仿宋_GB2312" w:cs="Times New Roman"/>
          <w:bCs/>
          <w:color w:val="auto"/>
          <w:spacing w:val="-17"/>
          <w:sz w:val="34"/>
          <w:szCs w:val="34"/>
          <w:lang w:eastAsia="zh-CN"/>
        </w:rPr>
        <w:t>预算</w:t>
      </w:r>
      <w:r>
        <w:rPr>
          <w:rFonts w:hint="default" w:ascii="Times New Roman" w:hAnsi="Times New Roman" w:eastAsia="仿宋_GB2312" w:cs="Times New Roman"/>
          <w:bCs/>
          <w:color w:val="auto"/>
          <w:spacing w:val="-17"/>
          <w:sz w:val="34"/>
          <w:szCs w:val="34"/>
        </w:rPr>
        <w:t>支出执行情况的说明</w:t>
      </w:r>
      <w:r>
        <w:rPr>
          <w:rFonts w:hint="default" w:ascii="Times New Roman" w:hAnsi="Times New Roman" w:eastAsia="仿宋_GB2312" w:cs="Times New Roman"/>
          <w:bCs/>
          <w:color w:val="auto"/>
          <w:spacing w:val="-6"/>
          <w:sz w:val="34"/>
          <w:szCs w:val="34"/>
          <w:lang w:val="en-US" w:eastAsia="zh-CN"/>
        </w:rPr>
        <w:tab/>
      </w:r>
      <w:r>
        <w:rPr>
          <w:rFonts w:hint="eastAsia" w:eastAsia="仿宋_GB2312" w:cs="Times New Roman"/>
          <w:bCs/>
          <w:color w:val="auto"/>
          <w:spacing w:val="-6"/>
          <w:sz w:val="34"/>
          <w:szCs w:val="34"/>
          <w:lang w:val="en-US" w:eastAsia="zh-CN"/>
        </w:rPr>
        <w:t>13-43</w:t>
      </w:r>
    </w:p>
    <w:p>
      <w:pPr>
        <w:keepNext w:val="0"/>
        <w:keepLines w:val="0"/>
        <w:pageBreakBefore w:val="0"/>
        <w:widowControl w:val="0"/>
        <w:tabs>
          <w:tab w:val="right" w:leader="dot" w:pos="86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21" w:rightChars="1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pacing w:val="-6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-6"/>
          <w:sz w:val="34"/>
          <w:szCs w:val="34"/>
        </w:rPr>
        <w:t>7．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-6"/>
          <w:sz w:val="34"/>
          <w:szCs w:val="34"/>
          <w:lang w:eastAsia="zh-CN"/>
        </w:rPr>
        <w:t>2023年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-6"/>
          <w:sz w:val="34"/>
          <w:szCs w:val="34"/>
        </w:rPr>
        <w:t>市级政府性基金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-6"/>
          <w:sz w:val="34"/>
          <w:szCs w:val="34"/>
          <w:lang w:eastAsia="zh-CN"/>
        </w:rPr>
        <w:t>预算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-6"/>
          <w:sz w:val="34"/>
          <w:szCs w:val="34"/>
        </w:rPr>
        <w:t>收入执行情况表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-6"/>
          <w:sz w:val="34"/>
          <w:szCs w:val="34"/>
        </w:rPr>
        <w:tab/>
      </w:r>
      <w:r>
        <w:rPr>
          <w:rFonts w:hint="eastAsia" w:eastAsia="仿宋_GB2312" w:cs="Times New Roman"/>
          <w:b/>
          <w:bCs/>
          <w:color w:val="auto"/>
          <w:spacing w:val="-6"/>
          <w:sz w:val="34"/>
          <w:szCs w:val="34"/>
          <w:lang w:val="en-US" w:eastAsia="zh-CN"/>
        </w:rPr>
        <w:t>13-45</w:t>
      </w:r>
    </w:p>
    <w:p>
      <w:pPr>
        <w:keepNext w:val="0"/>
        <w:keepLines w:val="0"/>
        <w:pageBreakBefore w:val="0"/>
        <w:widowControl w:val="0"/>
        <w:tabs>
          <w:tab w:val="right" w:leader="dot" w:pos="86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21" w:rightChars="10" w:firstLine="492" w:firstLineChars="15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pacing w:val="-6"/>
          <w:sz w:val="34"/>
          <w:szCs w:val="34"/>
          <w:lang w:val="en-US"/>
        </w:rPr>
      </w:pPr>
      <w:r>
        <w:rPr>
          <w:rFonts w:hint="default" w:ascii="Times New Roman" w:hAnsi="Times New Roman" w:eastAsia="仿宋_GB2312" w:cs="Times New Roman"/>
          <w:bCs/>
          <w:color w:val="auto"/>
          <w:spacing w:val="-6"/>
          <w:sz w:val="34"/>
          <w:szCs w:val="34"/>
        </w:rPr>
        <w:t>关</w:t>
      </w:r>
      <w:r>
        <w:rPr>
          <w:rFonts w:hint="default" w:ascii="Times New Roman" w:hAnsi="Times New Roman" w:eastAsia="仿宋_GB2312" w:cs="Times New Roman"/>
          <w:bCs/>
          <w:color w:val="auto"/>
          <w:spacing w:val="-17"/>
          <w:sz w:val="34"/>
          <w:szCs w:val="34"/>
          <w:lang w:eastAsia="zh-CN"/>
        </w:rPr>
        <w:t>于2023年市级政府性基金预算收入执行情况的说明</w:t>
      </w:r>
      <w:r>
        <w:rPr>
          <w:rFonts w:hint="default" w:ascii="Times New Roman" w:hAnsi="Times New Roman" w:eastAsia="仿宋_GB2312" w:cs="Times New Roman"/>
          <w:bCs/>
          <w:color w:val="auto"/>
          <w:spacing w:val="-6"/>
          <w:sz w:val="34"/>
          <w:szCs w:val="34"/>
          <w:lang w:val="en-US" w:eastAsia="zh-CN"/>
        </w:rPr>
        <w:tab/>
      </w:r>
      <w:r>
        <w:rPr>
          <w:rFonts w:hint="eastAsia" w:eastAsia="仿宋_GB2312" w:cs="Times New Roman"/>
          <w:bCs/>
          <w:color w:val="auto"/>
          <w:spacing w:val="-6"/>
          <w:sz w:val="34"/>
          <w:szCs w:val="34"/>
          <w:lang w:val="en-US" w:eastAsia="zh-CN"/>
        </w:rPr>
        <w:t>13-46</w:t>
      </w:r>
    </w:p>
    <w:p>
      <w:pPr>
        <w:keepNext w:val="0"/>
        <w:keepLines w:val="0"/>
        <w:pageBreakBefore w:val="0"/>
        <w:widowControl w:val="0"/>
        <w:tabs>
          <w:tab w:val="right" w:leader="dot" w:pos="86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21" w:rightChars="1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pacing w:val="-6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-6"/>
          <w:sz w:val="34"/>
          <w:szCs w:val="34"/>
        </w:rPr>
        <w:t>8．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-6"/>
          <w:sz w:val="34"/>
          <w:szCs w:val="34"/>
          <w:lang w:eastAsia="zh-CN"/>
        </w:rPr>
        <w:t>2023年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-6"/>
          <w:sz w:val="34"/>
          <w:szCs w:val="34"/>
        </w:rPr>
        <w:t>市级政府性基金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-6"/>
          <w:sz w:val="34"/>
          <w:szCs w:val="34"/>
          <w:lang w:eastAsia="zh-CN"/>
        </w:rPr>
        <w:t>预算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-6"/>
          <w:sz w:val="34"/>
          <w:szCs w:val="34"/>
        </w:rPr>
        <w:t>支出执行情况表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-6"/>
          <w:sz w:val="34"/>
          <w:szCs w:val="34"/>
        </w:rPr>
        <w:tab/>
      </w:r>
      <w:r>
        <w:rPr>
          <w:rFonts w:hint="eastAsia" w:eastAsia="仿宋_GB2312" w:cs="Times New Roman"/>
          <w:b/>
          <w:bCs/>
          <w:color w:val="auto"/>
          <w:spacing w:val="-6"/>
          <w:sz w:val="34"/>
          <w:szCs w:val="34"/>
          <w:lang w:val="en-US" w:eastAsia="zh-CN"/>
        </w:rPr>
        <w:t>13-47</w:t>
      </w:r>
    </w:p>
    <w:p>
      <w:pPr>
        <w:keepNext w:val="0"/>
        <w:keepLines w:val="0"/>
        <w:pageBreakBefore w:val="0"/>
        <w:widowControl w:val="0"/>
        <w:tabs>
          <w:tab w:val="right" w:leader="dot" w:pos="86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21" w:rightChars="10" w:firstLine="492" w:firstLineChars="15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pacing w:val="-6"/>
          <w:sz w:val="34"/>
          <w:szCs w:val="34"/>
          <w:lang w:val="en-US"/>
        </w:rPr>
      </w:pPr>
      <w:r>
        <w:rPr>
          <w:rFonts w:hint="default" w:ascii="Times New Roman" w:hAnsi="Times New Roman" w:eastAsia="仿宋_GB2312" w:cs="Times New Roman"/>
          <w:bCs/>
          <w:color w:val="auto"/>
          <w:spacing w:val="-6"/>
          <w:sz w:val="34"/>
          <w:szCs w:val="34"/>
        </w:rPr>
        <w:t>关</w:t>
      </w:r>
      <w:r>
        <w:rPr>
          <w:rFonts w:hint="default" w:ascii="Times New Roman" w:hAnsi="Times New Roman" w:eastAsia="仿宋_GB2312" w:cs="Times New Roman"/>
          <w:bCs/>
          <w:color w:val="auto"/>
          <w:spacing w:val="-17"/>
          <w:sz w:val="34"/>
          <w:szCs w:val="34"/>
          <w:lang w:eastAsia="zh-CN"/>
        </w:rPr>
        <w:t>于2023年市级政府性基金预算支出执行情况的说明</w:t>
      </w:r>
      <w:r>
        <w:rPr>
          <w:rFonts w:hint="default" w:ascii="Times New Roman" w:hAnsi="Times New Roman" w:eastAsia="仿宋_GB2312" w:cs="Times New Roman"/>
          <w:bCs/>
          <w:color w:val="auto"/>
          <w:spacing w:val="-6"/>
          <w:sz w:val="34"/>
          <w:szCs w:val="34"/>
          <w:lang w:val="en-US" w:eastAsia="zh-CN"/>
        </w:rPr>
        <w:tab/>
      </w:r>
      <w:r>
        <w:rPr>
          <w:rFonts w:hint="eastAsia" w:eastAsia="仿宋_GB2312" w:cs="Times New Roman"/>
          <w:bCs/>
          <w:color w:val="auto"/>
          <w:spacing w:val="-6"/>
          <w:sz w:val="34"/>
          <w:szCs w:val="34"/>
          <w:lang w:val="en-US" w:eastAsia="zh-CN"/>
        </w:rPr>
        <w:t>13-48</w:t>
      </w:r>
    </w:p>
    <w:p>
      <w:pPr>
        <w:keepNext w:val="0"/>
        <w:keepLines w:val="0"/>
        <w:pageBreakBefore w:val="0"/>
        <w:widowControl w:val="0"/>
        <w:tabs>
          <w:tab w:val="right" w:leader="dot" w:pos="86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3" w:rightChars="11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pacing w:val="-6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-6"/>
          <w:sz w:val="34"/>
          <w:szCs w:val="34"/>
        </w:rPr>
        <w:t>9．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-6"/>
          <w:sz w:val="34"/>
          <w:szCs w:val="34"/>
          <w:lang w:eastAsia="zh-CN"/>
        </w:rPr>
        <w:t>2023年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-6"/>
          <w:sz w:val="34"/>
          <w:szCs w:val="34"/>
        </w:rPr>
        <w:t>全市国有资本经营预算收支执行情况总表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-6"/>
          <w:sz w:val="34"/>
          <w:szCs w:val="34"/>
          <w:lang w:val="en-US" w:eastAsia="zh-CN"/>
        </w:rPr>
        <w:tab/>
      </w:r>
      <w:r>
        <w:rPr>
          <w:rFonts w:hint="eastAsia" w:eastAsia="仿宋_GB2312" w:cs="Times New Roman"/>
          <w:b/>
          <w:bCs/>
          <w:color w:val="auto"/>
          <w:spacing w:val="-6"/>
          <w:sz w:val="34"/>
          <w:szCs w:val="34"/>
          <w:lang w:val="en-US" w:eastAsia="zh-CN"/>
        </w:rPr>
        <w:t>13-49</w:t>
      </w:r>
    </w:p>
    <w:p>
      <w:pPr>
        <w:keepNext w:val="0"/>
        <w:keepLines w:val="0"/>
        <w:pageBreakBefore w:val="0"/>
        <w:widowControl w:val="0"/>
        <w:tabs>
          <w:tab w:val="right" w:leader="dot" w:pos="86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38" w:leftChars="161" w:right="23" w:rightChars="11" w:firstLine="164" w:firstLineChars="50"/>
        <w:jc w:val="distribute"/>
        <w:textAlignment w:val="auto"/>
        <w:rPr>
          <w:rFonts w:hint="default" w:ascii="Times New Roman" w:hAnsi="Times New Roman" w:eastAsia="仿宋_GB2312" w:cs="Times New Roman"/>
          <w:bCs/>
          <w:color w:val="auto"/>
          <w:spacing w:val="6"/>
          <w:sz w:val="34"/>
          <w:szCs w:val="34"/>
        </w:rPr>
      </w:pPr>
      <w:r>
        <w:rPr>
          <w:rFonts w:hint="default" w:ascii="Times New Roman" w:hAnsi="Times New Roman" w:eastAsia="仿宋_GB2312" w:cs="Times New Roman"/>
          <w:bCs/>
          <w:color w:val="auto"/>
          <w:spacing w:val="-6"/>
          <w:sz w:val="34"/>
          <w:szCs w:val="34"/>
        </w:rPr>
        <w:t>关</w:t>
      </w:r>
      <w:r>
        <w:rPr>
          <w:rFonts w:hint="default" w:ascii="Times New Roman" w:hAnsi="Times New Roman" w:eastAsia="仿宋_GB2312" w:cs="Times New Roman"/>
          <w:bCs/>
          <w:color w:val="auto"/>
          <w:spacing w:val="6"/>
          <w:sz w:val="34"/>
          <w:szCs w:val="34"/>
        </w:rPr>
        <w:t>于</w:t>
      </w:r>
      <w:r>
        <w:rPr>
          <w:rFonts w:hint="default" w:ascii="Times New Roman" w:hAnsi="Times New Roman" w:eastAsia="仿宋_GB2312" w:cs="Times New Roman"/>
          <w:bCs/>
          <w:color w:val="auto"/>
          <w:spacing w:val="6"/>
          <w:sz w:val="34"/>
          <w:szCs w:val="34"/>
          <w:lang w:eastAsia="zh-CN"/>
        </w:rPr>
        <w:t>2023年</w:t>
      </w:r>
      <w:r>
        <w:rPr>
          <w:rFonts w:hint="default" w:ascii="Times New Roman" w:hAnsi="Times New Roman" w:eastAsia="仿宋_GB2312" w:cs="Times New Roman"/>
          <w:bCs/>
          <w:color w:val="auto"/>
          <w:spacing w:val="6"/>
          <w:sz w:val="34"/>
          <w:szCs w:val="34"/>
        </w:rPr>
        <w:t>全市国有资本经营预算收支执行情况的</w:t>
      </w:r>
    </w:p>
    <w:p>
      <w:pPr>
        <w:keepNext w:val="0"/>
        <w:keepLines w:val="0"/>
        <w:pageBreakBefore w:val="0"/>
        <w:widowControl w:val="0"/>
        <w:tabs>
          <w:tab w:val="right" w:leader="dot" w:pos="86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38" w:leftChars="161" w:right="23" w:rightChars="11" w:firstLine="176" w:firstLineChars="50"/>
        <w:textAlignment w:val="auto"/>
        <w:rPr>
          <w:rFonts w:hint="default" w:ascii="Times New Roman" w:hAnsi="Times New Roman" w:eastAsia="仿宋_GB2312" w:cs="Times New Roman"/>
          <w:bCs/>
          <w:color w:val="auto"/>
          <w:spacing w:val="-6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pacing w:val="6"/>
          <w:sz w:val="34"/>
          <w:szCs w:val="34"/>
        </w:rPr>
        <w:t>说</w:t>
      </w:r>
      <w:r>
        <w:rPr>
          <w:rFonts w:hint="default" w:ascii="Times New Roman" w:hAnsi="Times New Roman" w:eastAsia="仿宋_GB2312" w:cs="Times New Roman"/>
          <w:bCs/>
          <w:color w:val="auto"/>
          <w:spacing w:val="-6"/>
          <w:sz w:val="34"/>
          <w:szCs w:val="34"/>
        </w:rPr>
        <w:t>明</w:t>
      </w:r>
      <w:r>
        <w:rPr>
          <w:rFonts w:hint="default" w:ascii="Times New Roman" w:hAnsi="Times New Roman" w:eastAsia="仿宋_GB2312" w:cs="Times New Roman"/>
          <w:bCs/>
          <w:color w:val="auto"/>
          <w:spacing w:val="-11"/>
          <w:sz w:val="34"/>
          <w:szCs w:val="34"/>
          <w:lang w:val="en-US" w:eastAsia="zh-CN"/>
        </w:rPr>
        <w:tab/>
      </w:r>
      <w:r>
        <w:rPr>
          <w:rFonts w:hint="eastAsia" w:eastAsia="仿宋_GB2312" w:cs="Times New Roman"/>
          <w:bCs/>
          <w:color w:val="auto"/>
          <w:spacing w:val="-11"/>
          <w:sz w:val="34"/>
          <w:szCs w:val="34"/>
          <w:lang w:val="en-US" w:eastAsia="zh-CN"/>
        </w:rPr>
        <w:t>13-50</w:t>
      </w:r>
    </w:p>
    <w:p>
      <w:pPr>
        <w:keepNext w:val="0"/>
        <w:keepLines w:val="0"/>
        <w:pageBreakBefore w:val="0"/>
        <w:widowControl w:val="0"/>
        <w:tabs>
          <w:tab w:val="right" w:leader="dot" w:pos="86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3" w:rightChars="11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pacing w:val="-6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-6"/>
          <w:sz w:val="34"/>
          <w:szCs w:val="34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-6"/>
          <w:sz w:val="34"/>
          <w:szCs w:val="34"/>
        </w:rPr>
        <w:t>．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-6"/>
          <w:sz w:val="34"/>
          <w:szCs w:val="34"/>
          <w:lang w:eastAsia="zh-CN"/>
        </w:rPr>
        <w:t>2023年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-6"/>
          <w:sz w:val="34"/>
          <w:szCs w:val="34"/>
        </w:rPr>
        <w:t>市级国有资本经营预算收支执行情况总表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-6"/>
          <w:sz w:val="34"/>
          <w:szCs w:val="34"/>
          <w:lang w:val="en-US" w:eastAsia="zh-CN"/>
        </w:rPr>
        <w:tab/>
      </w:r>
      <w:r>
        <w:rPr>
          <w:rFonts w:hint="eastAsia" w:eastAsia="仿宋_GB2312" w:cs="Times New Roman"/>
          <w:b/>
          <w:bCs/>
          <w:color w:val="auto"/>
          <w:spacing w:val="-6"/>
          <w:sz w:val="34"/>
          <w:szCs w:val="34"/>
          <w:lang w:val="en-US" w:eastAsia="zh-CN"/>
        </w:rPr>
        <w:t>13-51</w:t>
      </w:r>
    </w:p>
    <w:p>
      <w:pPr>
        <w:keepNext w:val="0"/>
        <w:keepLines w:val="0"/>
        <w:pageBreakBefore w:val="0"/>
        <w:widowControl w:val="0"/>
        <w:tabs>
          <w:tab w:val="right" w:leader="dot" w:pos="86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3" w:rightChars="11" w:firstLine="704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pacing w:val="6"/>
          <w:sz w:val="34"/>
          <w:szCs w:val="34"/>
        </w:rPr>
      </w:pPr>
      <w:r>
        <w:rPr>
          <w:rFonts w:hint="default" w:ascii="Times New Roman" w:hAnsi="Times New Roman" w:eastAsia="仿宋_GB2312" w:cs="Times New Roman"/>
          <w:bCs/>
          <w:color w:val="auto"/>
          <w:spacing w:val="6"/>
          <w:sz w:val="34"/>
          <w:szCs w:val="34"/>
        </w:rPr>
        <w:t>关于</w:t>
      </w:r>
      <w:r>
        <w:rPr>
          <w:rFonts w:hint="default" w:ascii="Times New Roman" w:hAnsi="Times New Roman" w:eastAsia="仿宋_GB2312" w:cs="Times New Roman"/>
          <w:bCs/>
          <w:color w:val="auto"/>
          <w:spacing w:val="6"/>
          <w:sz w:val="34"/>
          <w:szCs w:val="34"/>
          <w:lang w:eastAsia="zh-CN"/>
        </w:rPr>
        <w:t>2023年</w:t>
      </w:r>
      <w:r>
        <w:rPr>
          <w:rFonts w:hint="default" w:ascii="Times New Roman" w:hAnsi="Times New Roman" w:eastAsia="仿宋_GB2312" w:cs="Times New Roman"/>
          <w:bCs/>
          <w:color w:val="auto"/>
          <w:spacing w:val="6"/>
          <w:sz w:val="34"/>
          <w:szCs w:val="34"/>
        </w:rPr>
        <w:t>市级国有资本经营预算收支执行情况的</w:t>
      </w:r>
    </w:p>
    <w:p>
      <w:pPr>
        <w:keepNext w:val="0"/>
        <w:keepLines w:val="0"/>
        <w:pageBreakBefore w:val="0"/>
        <w:widowControl w:val="0"/>
        <w:tabs>
          <w:tab w:val="right" w:leader="dot" w:pos="86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3" w:rightChars="11" w:firstLine="704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pacing w:val="-6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pacing w:val="6"/>
          <w:sz w:val="34"/>
          <w:szCs w:val="34"/>
        </w:rPr>
        <w:t>说明</w:t>
      </w:r>
      <w:r>
        <w:rPr>
          <w:rFonts w:hint="default" w:ascii="Times New Roman" w:hAnsi="Times New Roman" w:eastAsia="仿宋_GB2312" w:cs="Times New Roman"/>
          <w:bCs/>
          <w:color w:val="auto"/>
          <w:spacing w:val="-6"/>
          <w:sz w:val="34"/>
          <w:szCs w:val="34"/>
          <w:lang w:val="en-US" w:eastAsia="zh-CN"/>
        </w:rPr>
        <w:tab/>
      </w:r>
      <w:r>
        <w:rPr>
          <w:rFonts w:hint="eastAsia" w:eastAsia="仿宋_GB2312" w:cs="Times New Roman"/>
          <w:bCs/>
          <w:color w:val="auto"/>
          <w:spacing w:val="-6"/>
          <w:sz w:val="34"/>
          <w:szCs w:val="34"/>
          <w:lang w:val="en-US" w:eastAsia="zh-CN"/>
        </w:rPr>
        <w:t>13-52</w:t>
      </w:r>
    </w:p>
    <w:p>
      <w:pPr>
        <w:keepNext w:val="0"/>
        <w:keepLines w:val="0"/>
        <w:pageBreakBefore w:val="0"/>
        <w:widowControl w:val="0"/>
        <w:tabs>
          <w:tab w:val="right" w:leader="dot" w:pos="86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3" w:rightChars="11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pacing w:val="-6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-6"/>
          <w:sz w:val="34"/>
          <w:szCs w:val="34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-6"/>
          <w:sz w:val="34"/>
          <w:szCs w:val="34"/>
        </w:rPr>
        <w:t>．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-6"/>
          <w:sz w:val="34"/>
          <w:szCs w:val="34"/>
          <w:lang w:eastAsia="zh-CN"/>
        </w:rPr>
        <w:t>2023年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-6"/>
          <w:sz w:val="34"/>
          <w:szCs w:val="34"/>
        </w:rPr>
        <w:t>全市社会保险基金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-6"/>
          <w:sz w:val="34"/>
          <w:szCs w:val="34"/>
          <w:lang w:eastAsia="zh-CN"/>
        </w:rPr>
        <w:t>预算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-6"/>
          <w:sz w:val="34"/>
          <w:szCs w:val="34"/>
        </w:rPr>
        <w:t>收支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-6"/>
          <w:sz w:val="34"/>
          <w:szCs w:val="34"/>
          <w:lang w:eastAsia="zh-CN"/>
        </w:rPr>
        <w:t>执行情况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-6"/>
          <w:sz w:val="34"/>
          <w:szCs w:val="34"/>
        </w:rPr>
        <w:t>总表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-6"/>
          <w:sz w:val="34"/>
          <w:szCs w:val="34"/>
          <w:lang w:val="en-US" w:eastAsia="zh-CN"/>
        </w:rPr>
        <w:tab/>
      </w:r>
      <w:r>
        <w:rPr>
          <w:rFonts w:hint="eastAsia" w:eastAsia="仿宋_GB2312" w:cs="Times New Roman"/>
          <w:b/>
          <w:bCs/>
          <w:color w:val="auto"/>
          <w:spacing w:val="-6"/>
          <w:sz w:val="34"/>
          <w:szCs w:val="34"/>
          <w:lang w:val="en-US" w:eastAsia="zh-CN"/>
        </w:rPr>
        <w:t>13-53</w:t>
      </w:r>
    </w:p>
    <w:p>
      <w:pPr>
        <w:keepNext w:val="0"/>
        <w:keepLines w:val="0"/>
        <w:pageBreakBefore w:val="0"/>
        <w:widowControl w:val="0"/>
        <w:tabs>
          <w:tab w:val="right" w:leader="dot" w:pos="86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3" w:rightChars="11" w:firstLine="704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pacing w:val="6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6"/>
          <w:sz w:val="34"/>
          <w:szCs w:val="34"/>
          <w:lang w:val="en-US" w:eastAsia="zh-CN"/>
        </w:rPr>
        <w:t>关</w:t>
      </w:r>
      <w:r>
        <w:rPr>
          <w:rFonts w:hint="default" w:ascii="Times New Roman" w:hAnsi="Times New Roman" w:eastAsia="仿宋_GB2312" w:cs="Times New Roman"/>
          <w:bCs/>
          <w:color w:val="auto"/>
          <w:spacing w:val="6"/>
          <w:sz w:val="34"/>
          <w:szCs w:val="34"/>
          <w:lang w:val="en-US" w:eastAsia="zh-CN"/>
        </w:rPr>
        <w:t>于2023年全市社会保险基金预算收支执行情况的</w:t>
      </w:r>
    </w:p>
    <w:p>
      <w:pPr>
        <w:keepNext w:val="0"/>
        <w:keepLines w:val="0"/>
        <w:pageBreakBefore w:val="0"/>
        <w:widowControl w:val="0"/>
        <w:tabs>
          <w:tab w:val="right" w:leader="dot" w:pos="86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3" w:rightChars="11" w:firstLine="704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pacing w:val="-6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pacing w:val="6"/>
          <w:sz w:val="34"/>
          <w:szCs w:val="34"/>
          <w:lang w:val="en-US" w:eastAsia="zh-CN"/>
        </w:rPr>
        <w:t>说明</w:t>
      </w:r>
      <w:r>
        <w:rPr>
          <w:rFonts w:hint="default" w:ascii="Times New Roman" w:hAnsi="Times New Roman" w:eastAsia="仿宋_GB2312" w:cs="Times New Roman"/>
          <w:bCs/>
          <w:color w:val="auto"/>
          <w:spacing w:val="-11"/>
          <w:sz w:val="34"/>
          <w:szCs w:val="34"/>
          <w:lang w:val="en-US" w:eastAsia="zh-CN"/>
        </w:rPr>
        <w:tab/>
      </w:r>
      <w:r>
        <w:rPr>
          <w:rFonts w:hint="eastAsia" w:eastAsia="仿宋_GB2312" w:cs="Times New Roman"/>
          <w:bCs/>
          <w:color w:val="auto"/>
          <w:spacing w:val="-11"/>
          <w:sz w:val="34"/>
          <w:szCs w:val="34"/>
          <w:lang w:val="en-US" w:eastAsia="zh-CN"/>
        </w:rPr>
        <w:t>13-54</w:t>
      </w:r>
    </w:p>
    <w:p>
      <w:pPr>
        <w:keepNext w:val="0"/>
        <w:keepLines w:val="0"/>
        <w:pageBreakBefore w:val="0"/>
        <w:widowControl w:val="0"/>
        <w:tabs>
          <w:tab w:val="right" w:leader="dot" w:pos="86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3" w:rightChars="11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pacing w:val="-6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-6"/>
          <w:sz w:val="34"/>
          <w:szCs w:val="34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-6"/>
          <w:sz w:val="34"/>
          <w:szCs w:val="34"/>
        </w:rPr>
        <w:t>．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-6"/>
          <w:sz w:val="34"/>
          <w:szCs w:val="34"/>
          <w:lang w:val="en-US" w:eastAsia="zh-CN"/>
        </w:rPr>
        <w:t>2023年市级社会保险基金预算收支执行情况总表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-6"/>
          <w:sz w:val="34"/>
          <w:szCs w:val="34"/>
          <w:lang w:val="en-US" w:eastAsia="zh-CN"/>
        </w:rPr>
        <w:tab/>
      </w:r>
      <w:r>
        <w:rPr>
          <w:rFonts w:hint="eastAsia" w:eastAsia="仿宋_GB2312" w:cs="Times New Roman"/>
          <w:b/>
          <w:bCs/>
          <w:color w:val="auto"/>
          <w:spacing w:val="-6"/>
          <w:sz w:val="34"/>
          <w:szCs w:val="34"/>
          <w:lang w:val="en-US" w:eastAsia="zh-CN"/>
        </w:rPr>
        <w:t>13-55</w:t>
      </w:r>
    </w:p>
    <w:p>
      <w:pPr>
        <w:keepNext w:val="0"/>
        <w:keepLines w:val="0"/>
        <w:pageBreakBefore w:val="0"/>
        <w:widowControl w:val="0"/>
        <w:tabs>
          <w:tab w:val="right" w:leader="dot" w:pos="86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3" w:rightChars="11" w:firstLine="636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pacing w:val="6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11"/>
          <w:sz w:val="34"/>
          <w:szCs w:val="34"/>
          <w:lang w:val="en-US" w:eastAsia="zh-CN"/>
        </w:rPr>
        <w:t>关</w:t>
      </w:r>
      <w:r>
        <w:rPr>
          <w:rFonts w:hint="default" w:ascii="Times New Roman" w:hAnsi="Times New Roman" w:eastAsia="仿宋_GB2312" w:cs="Times New Roman"/>
          <w:bCs/>
          <w:color w:val="auto"/>
          <w:spacing w:val="6"/>
          <w:sz w:val="34"/>
          <w:szCs w:val="34"/>
          <w:lang w:val="en-US" w:eastAsia="zh-CN"/>
        </w:rPr>
        <w:t>于2023年市级社会保险基金预算收支执行情况的</w:t>
      </w:r>
    </w:p>
    <w:p>
      <w:pPr>
        <w:keepNext w:val="0"/>
        <w:keepLines w:val="0"/>
        <w:pageBreakBefore w:val="0"/>
        <w:widowControl w:val="0"/>
        <w:tabs>
          <w:tab w:val="right" w:leader="dot" w:pos="86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3" w:rightChars="11" w:firstLine="704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pacing w:val="-6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pacing w:val="6"/>
          <w:sz w:val="34"/>
          <w:szCs w:val="34"/>
          <w:lang w:val="en-US" w:eastAsia="zh-CN"/>
        </w:rPr>
        <w:t>说明</w:t>
      </w:r>
      <w:r>
        <w:rPr>
          <w:rFonts w:hint="default" w:ascii="Times New Roman" w:hAnsi="Times New Roman" w:eastAsia="仿宋_GB2312" w:cs="Times New Roman"/>
          <w:bCs/>
          <w:color w:val="auto"/>
          <w:spacing w:val="-11"/>
          <w:sz w:val="34"/>
          <w:szCs w:val="34"/>
          <w:lang w:val="en-US" w:eastAsia="zh-CN"/>
        </w:rPr>
        <w:tab/>
      </w:r>
      <w:r>
        <w:rPr>
          <w:rFonts w:hint="eastAsia" w:eastAsia="仿宋_GB2312" w:cs="Times New Roman"/>
          <w:bCs/>
          <w:color w:val="auto"/>
          <w:spacing w:val="-11"/>
          <w:sz w:val="34"/>
          <w:szCs w:val="34"/>
          <w:lang w:val="en-US" w:eastAsia="zh-CN"/>
        </w:rPr>
        <w:t>13-56</w:t>
      </w:r>
    </w:p>
    <w:p>
      <w:pPr>
        <w:tabs>
          <w:tab w:val="right" w:leader="dot" w:pos="8610"/>
        </w:tabs>
        <w:spacing w:line="600" w:lineRule="exact"/>
        <w:ind w:right="23" w:rightChars="11"/>
        <w:rPr>
          <w:rFonts w:hint="default" w:ascii="Times New Roman" w:hAnsi="Times New Roman" w:eastAsia="仿宋_GB2312" w:cs="Times New Roman"/>
          <w:b/>
          <w:bCs/>
          <w:color w:val="auto"/>
          <w:spacing w:val="-6"/>
          <w:sz w:val="34"/>
          <w:szCs w:val="34"/>
        </w:rPr>
      </w:pPr>
    </w:p>
    <w:p>
      <w:pPr>
        <w:rPr>
          <w:rFonts w:hint="default" w:ascii="Times New Roman" w:hAnsi="Times New Roman" w:eastAsia="方正大标宋简体" w:cs="Times New Roman"/>
          <w:color w:val="auto"/>
          <w:spacing w:val="-11"/>
          <w:sz w:val="40"/>
          <w:szCs w:val="40"/>
        </w:rPr>
      </w:pPr>
    </w:p>
    <w:p>
      <w:pPr>
        <w:rPr>
          <w:rFonts w:hint="default" w:ascii="Times New Roman" w:hAnsi="Times New Roman" w:eastAsia="方正大标宋简体" w:cs="Times New Roman"/>
          <w:color w:val="auto"/>
          <w:spacing w:val="-11"/>
          <w:sz w:val="40"/>
          <w:szCs w:val="40"/>
        </w:rPr>
      </w:pPr>
    </w:p>
    <w:p>
      <w:pPr>
        <w:rPr>
          <w:rFonts w:hint="default" w:ascii="Times New Roman" w:hAnsi="Times New Roman" w:eastAsia="方正大标宋简体" w:cs="Times New Roman"/>
          <w:color w:val="auto"/>
          <w:spacing w:val="-11"/>
          <w:sz w:val="40"/>
          <w:szCs w:val="40"/>
        </w:rPr>
      </w:pPr>
    </w:p>
    <w:p>
      <w:pPr>
        <w:rPr>
          <w:rFonts w:hint="default" w:ascii="Times New Roman" w:hAnsi="Times New Roman" w:eastAsia="方正大标宋简体" w:cs="Times New Roman"/>
          <w:color w:val="auto"/>
          <w:spacing w:val="-11"/>
          <w:sz w:val="40"/>
          <w:szCs w:val="40"/>
        </w:rPr>
        <w:sectPr>
          <w:footerReference r:id="rId5" w:type="default"/>
          <w:pgSz w:w="11906" w:h="16838"/>
          <w:pgMar w:top="1984" w:right="1644" w:bottom="1984" w:left="1644" w:header="851" w:footer="1531" w:gutter="0"/>
          <w:pgNumType w:fmt="decimal" w:start="23"/>
          <w:cols w:space="0" w:num="1"/>
          <w:rtlGutter w:val="0"/>
          <w:docGrid w:type="lines" w:linePitch="312" w:charSpace="0"/>
        </w:sectPr>
      </w:pPr>
    </w:p>
    <w:tbl>
      <w:tblPr>
        <w:tblStyle w:val="10"/>
        <w:tblW w:w="92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05"/>
        <w:gridCol w:w="1181"/>
        <w:gridCol w:w="1219"/>
        <w:gridCol w:w="1331"/>
        <w:gridCol w:w="919"/>
        <w:gridCol w:w="11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217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2023年全市一般公共预算收入执行情况表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405" w:type="dxa"/>
            <w:shd w:val="clear" w:color="auto" w:fill="auto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181" w:type="dxa"/>
            <w:shd w:val="clear" w:color="auto" w:fill="auto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219" w:type="dxa"/>
            <w:shd w:val="clear" w:color="auto" w:fill="auto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331" w:type="dxa"/>
            <w:shd w:val="clear" w:color="auto" w:fill="auto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19" w:type="dxa"/>
            <w:shd w:val="clear" w:color="auto" w:fill="auto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   目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年初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预算数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调整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预算数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执行数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为调整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预算数%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为上年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决算数%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税收收入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1,066,225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987,872 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908,185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91.9%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98.5%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国内增值税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548,907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545,404 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526,190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96.5%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99.7%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企业所得税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85,698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64,175 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51,655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80.5%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84.4%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个人所得税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30,868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20,237 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14,620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72.2%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79.6%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资源税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110,871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84,545 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92,322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109.2%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95.9%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56,114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49,910 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46,973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94.1%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88.2%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房产税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38,445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35,727 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29,346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82.1%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112.6%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印花税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21,938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23,766 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20,583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86.6%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109.9%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城镇土地使用税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31,374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34,096 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31,191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91.5%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116.8%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土地增值税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30,615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27,122 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20,423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75.3%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84.1%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车船税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12,865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12,513 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11,500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91.9%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108.8%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耕地占用税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15,355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11,154 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9,182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82.3%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312.2%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契税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61,697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58,958 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31,830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54.0%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82.8%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烟叶税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16,739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16,643 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18,387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110.5%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136.7%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环境保护税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4,699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3,582 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3,918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109.4%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98.1%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其他税收收入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162.5%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71.4%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非税收入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378,120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448,623 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498,698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111.2%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106.6%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专项收入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39,461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35,512 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37,006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104.2%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91.5%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行政事业性收费收入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55,490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56,222 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59,708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106.2%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罚没收入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59,704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51,865 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41,292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79.6%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107.7%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国有资本经营收入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71,000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58,351 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65,363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112.0%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105.7%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国有资源(资产)有偿使用收入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127,115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189,593 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232,920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122.9%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116.4%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捐赠收入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3,755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政府住房基金收入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11,380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20,810 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22,233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106.8%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116.2%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13,770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36,265 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36,421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100.4%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79.5%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   计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1,444,345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1,436,495 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1,406,883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97.9%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101.2%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217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备注：年初预算数为汇总各级人代会批准的年初预算数。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</w:p>
        </w:tc>
      </w:tr>
    </w:tbl>
    <w:p>
      <w:pPr>
        <w:rPr>
          <w:rFonts w:hint="default" w:ascii="Times New Roman" w:hAnsi="Times New Roman" w:eastAsia="方正大标宋简体" w:cs="Times New Roman"/>
          <w:color w:val="auto"/>
          <w:spacing w:val="-11"/>
          <w:sz w:val="40"/>
          <w:szCs w:val="40"/>
        </w:rPr>
      </w:pPr>
      <w:r>
        <w:rPr>
          <w:rFonts w:hint="default" w:ascii="Times New Roman" w:hAnsi="Times New Roman" w:eastAsia="方正大标宋简体" w:cs="Times New Roman"/>
          <w:color w:val="auto"/>
          <w:spacing w:val="-11"/>
          <w:sz w:val="40"/>
          <w:szCs w:val="40"/>
        </w:rPr>
        <w:t>关于</w:t>
      </w:r>
      <w:r>
        <w:rPr>
          <w:rFonts w:hint="default" w:ascii="Times New Roman" w:hAnsi="Times New Roman" w:eastAsia="方正大标宋简体" w:cs="Times New Roman"/>
          <w:color w:val="auto"/>
          <w:spacing w:val="-11"/>
          <w:sz w:val="40"/>
          <w:szCs w:val="40"/>
          <w:lang w:eastAsia="zh-CN"/>
        </w:rPr>
        <w:t>2023年</w:t>
      </w:r>
      <w:r>
        <w:rPr>
          <w:rFonts w:hint="default" w:ascii="Times New Roman" w:hAnsi="Times New Roman" w:eastAsia="方正大标宋简体" w:cs="Times New Roman"/>
          <w:color w:val="auto"/>
          <w:spacing w:val="-11"/>
          <w:sz w:val="40"/>
          <w:szCs w:val="40"/>
        </w:rPr>
        <w:t>全市一般公共预算收入执行情况的说明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83" w:firstLineChars="200"/>
        <w:textAlignment w:val="auto"/>
        <w:rPr>
          <w:rFonts w:hint="default" w:ascii="Times New Roman" w:hAnsi="Times New Roman" w:eastAsia="仿宋_GB2312" w:cs="Times New Roman"/>
          <w:b/>
          <w:color w:val="auto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4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汇总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全市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各级人代会批准的2023年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一般公共预算收入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年初预算数为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1444345万元，年初预算数调整为1436495万元（以下简称预算数），实际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完成1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4068</w:t>
      </w:r>
      <w:r>
        <w:rPr>
          <w:rFonts w:hint="eastAsia" w:eastAsia="仿宋_GB2312" w:cs="Times New Roman"/>
          <w:color w:val="auto"/>
          <w:sz w:val="34"/>
          <w:szCs w:val="34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万元，为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调整预算的97.9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%，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同比增长1.2%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。其中：税收收入完成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908185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万元，为预算数的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91.9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%，为上年决算数的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98.5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%，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税收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占一般公共预算收入的比重为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64.6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%；非税收入完成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498698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万元，为预算数的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111.2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%，为上年决算数的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106.6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4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2023年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全市一般公共预算收入主要项目执行情况是：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4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1、增值税完成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526190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万元，为预算数的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96.5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%，为上年决算数的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99.7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4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2、企业所得税完成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51655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万元，为预算数的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80.5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%，为上年决算数的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84.4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4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3、个人所得税完成1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4620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万元，为预算数的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72.2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%，为上年决算数的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79.6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4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4、资源税完成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92322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万元，为预算数的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109.2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%，为上年决算数的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95.9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4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5、城市维护建设税完成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46973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万元，为预算数的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94.1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%，为上年决算数的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88.2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4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6、房产税完成2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9346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万元，为预算数的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82.1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%，为上年决算数的1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12.6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4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7、印花税完成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20583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万元，为预算数的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86.6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%，为上年决算数的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109.9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4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8、城镇土地使用税完成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31191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万元，为预算数的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91.5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%，为上年决算数的1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16.8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4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9、土地增值税完成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20423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万元，为预算数的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75.3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%，为上年决算数的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84.1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4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10、车船税完成1</w:t>
      </w:r>
      <w:r>
        <w:rPr>
          <w:rFonts w:hint="eastAsia" w:eastAsia="仿宋_GB2312" w:cs="Times New Roman"/>
          <w:color w:val="auto"/>
          <w:sz w:val="34"/>
          <w:szCs w:val="34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500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万元，为预算数的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91.9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%，为上年决算数的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108.8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11、耕地占用税完成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9182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万元，为预算数的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82.3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%，为上年决算数的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312.2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%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主要是去年同期基数较低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4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12、契税完成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31830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万元，为预算数的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54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%，为上年决算数的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82.8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13、烟叶税完成1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8387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万元，为预算数的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110.5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%，为上年决算数的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136.7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14、环境保护税完成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3918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万元，为预算数的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109.4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%，为上年决算数的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98.1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4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15、专项收入完成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37006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万元，为预算数的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104.2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%，为上年决算数的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91.5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4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16、行政事业性收费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收入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完成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59708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万元，为预算数的1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06.2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%，为上年决算数的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96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4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17、罚没收入完成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41292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万元，为预算数的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79.6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%，为上年决算数的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107.7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4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18、国有资本经营收入完成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65363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万元，为预算数的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112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%，为上年决算数的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105.7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4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19、国有资源（资产）有偿使用收入完成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232920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万元，为预算数的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122.9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%，为上年决算数的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116.4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%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4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20、政府性住房基金收入完成22233万元，为预算数的106.8%，上年决算数的116.2%。</w:t>
      </w:r>
    </w:p>
    <w:p>
      <w:pPr>
        <w:jc w:val="both"/>
        <w:rPr>
          <w:rFonts w:hint="default" w:ascii="Times New Roman" w:hAnsi="Times New Roman" w:eastAsia="黑体" w:cs="Times New Roman"/>
          <w:color w:val="auto"/>
          <w:spacing w:val="-11"/>
          <w:sz w:val="36"/>
          <w:szCs w:val="36"/>
          <w:lang w:eastAsia="zh-CN"/>
        </w:rPr>
      </w:pPr>
      <w:bookmarkStart w:id="1" w:name="_Toc446057890"/>
    </w:p>
    <w:p>
      <w:pPr>
        <w:jc w:val="both"/>
        <w:rPr>
          <w:rFonts w:hint="default" w:ascii="Times New Roman" w:hAnsi="Times New Roman" w:eastAsia="黑体" w:cs="Times New Roman"/>
          <w:color w:val="auto"/>
          <w:spacing w:val="-11"/>
          <w:sz w:val="36"/>
          <w:szCs w:val="36"/>
          <w:lang w:eastAsia="zh-CN"/>
        </w:rPr>
      </w:pPr>
    </w:p>
    <w:p>
      <w:pPr>
        <w:jc w:val="both"/>
        <w:rPr>
          <w:rFonts w:hint="default" w:ascii="Times New Roman" w:hAnsi="Times New Roman" w:eastAsia="黑体" w:cs="Times New Roman"/>
          <w:color w:val="auto"/>
          <w:spacing w:val="-11"/>
          <w:sz w:val="36"/>
          <w:szCs w:val="36"/>
          <w:lang w:eastAsia="zh-CN"/>
        </w:rPr>
      </w:pPr>
    </w:p>
    <w:p>
      <w:pPr>
        <w:rPr>
          <w:rFonts w:hint="default" w:ascii="Times New Roman" w:hAnsi="Times New Roman" w:eastAsia="黑体" w:cs="Times New Roman"/>
          <w:color w:val="auto"/>
          <w:spacing w:val="-11"/>
          <w:sz w:val="36"/>
          <w:szCs w:val="36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pacing w:val="-11"/>
          <w:sz w:val="36"/>
          <w:szCs w:val="36"/>
          <w:lang w:eastAsia="zh-CN"/>
        </w:rPr>
        <w:br w:type="page"/>
      </w:r>
    </w:p>
    <w:tbl>
      <w:tblPr>
        <w:tblStyle w:val="10"/>
        <w:tblW w:w="88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72"/>
        <w:gridCol w:w="1198"/>
        <w:gridCol w:w="1198"/>
        <w:gridCol w:w="1120"/>
        <w:gridCol w:w="1136"/>
        <w:gridCol w:w="1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8899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2023年全市一般公共预算支出执行情况表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2672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6" w:type="dxa"/>
            <w:shd w:val="clear" w:color="auto" w:fill="auto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  <w:jc w:val="center"/>
        </w:trPr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  目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调整预算数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执行数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为调整预算数%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为上年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决算数%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385,933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539,939 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539,834 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100.0%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114.6%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国防支出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775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2,703 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2,682 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99.2%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86.3%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公共安全支出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84,371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103,660 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102,229 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98.6%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104.7%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396,286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471,394 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462,438 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98.1%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科学技术支出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56,903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143,975 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135,860 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94.4%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124.5%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文化旅游体育与传媒支出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24,536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37,636 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36,974 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98.2%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115.3%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262,383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279,398 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275,398 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98.6%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225,518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308,409 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305,680 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99.1%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节能环保支出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80,858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101,424 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76,196 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75.1%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103.9%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151,366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222,655 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194,818 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87.5%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99.8%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270,285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347,466 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318,444 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91.7%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103.2%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交通运输支出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111,479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144,412 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118,163 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81.8%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89.4%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资源勘探工业信息等支出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40,756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34,986 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33,956 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97.1%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91.6%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商业服务业等支出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7,402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8,853 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8,305 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93.8%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114.2%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金融支出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981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935 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906 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96.9%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203.1%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自然资源海洋气象等支出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67,693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69,072 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34,652 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50.2%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112.6%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59,072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73,899 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72,114 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97.6%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粮油物资储备支出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4,869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12,597 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11,029 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87.6%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73.8%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灾害防治及应急管理支出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15,821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28,150 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23,004 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81.7%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125.3%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债务付息支出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36,557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39,855 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39,605 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99.4%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103.8%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50,271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56,535 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38,287 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67.7%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86.3%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   计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2,334,115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3,027,953 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2,830,574 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93.5%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102.6%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8899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备注：1.年初预算数为汇总各级人代会批准的年初预算数。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2.调整预算数为年初预算加中央、省追加，上年结转，政府债务收入等安排的支出。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/>
        <w:textAlignment w:val="auto"/>
        <w:rPr>
          <w:rFonts w:hint="default" w:ascii="Times New Roman" w:hAnsi="Times New Roman" w:eastAsia="方正大标宋简体" w:cs="Times New Roman"/>
          <w:color w:val="auto"/>
          <w:spacing w:val="-11"/>
          <w:sz w:val="40"/>
          <w:szCs w:val="40"/>
        </w:rPr>
      </w:pPr>
      <w:r>
        <w:rPr>
          <w:rFonts w:hint="default" w:ascii="Times New Roman" w:hAnsi="Times New Roman" w:eastAsia="方正大标宋简体" w:cs="Times New Roman"/>
          <w:color w:val="auto"/>
          <w:spacing w:val="-11"/>
          <w:sz w:val="40"/>
          <w:szCs w:val="40"/>
        </w:rPr>
        <w:t>关于</w:t>
      </w:r>
      <w:r>
        <w:rPr>
          <w:rFonts w:hint="default" w:ascii="Times New Roman" w:hAnsi="Times New Roman" w:eastAsia="方正大标宋简体" w:cs="Times New Roman"/>
          <w:color w:val="auto"/>
          <w:spacing w:val="-11"/>
          <w:sz w:val="40"/>
          <w:szCs w:val="40"/>
          <w:lang w:eastAsia="zh-CN"/>
        </w:rPr>
        <w:t>2023年</w:t>
      </w:r>
      <w:r>
        <w:rPr>
          <w:rFonts w:hint="default" w:ascii="Times New Roman" w:hAnsi="Times New Roman" w:eastAsia="方正大标宋简体" w:cs="Times New Roman"/>
          <w:color w:val="auto"/>
          <w:spacing w:val="-11"/>
          <w:sz w:val="40"/>
          <w:szCs w:val="40"/>
        </w:rPr>
        <w:t>全市一般公共预算支出执行情况的说明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80" w:firstLineChars="200"/>
        <w:textAlignment w:val="auto"/>
        <w:rPr>
          <w:rFonts w:hint="default" w:ascii="Times New Roman" w:hAnsi="Times New Roman" w:eastAsia="仿宋" w:cs="Times New Roman"/>
          <w:color w:val="auto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80" w:firstLineChars="200"/>
        <w:textAlignment w:val="auto"/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</w:rPr>
      </w:pPr>
      <w:r>
        <w:rPr>
          <w:rFonts w:hint="default" w:ascii="Times New Roman" w:hAnsi="Times New Roman" w:eastAsia="仿宋" w:cs="Times New Roman"/>
          <w:color w:val="auto"/>
          <w:spacing w:val="0"/>
          <w:kern w:val="0"/>
          <w:sz w:val="34"/>
          <w:szCs w:val="34"/>
        </w:rPr>
        <w:t>汇总</w:t>
      </w:r>
      <w:r>
        <w:rPr>
          <w:rFonts w:hint="default" w:ascii="Times New Roman" w:hAnsi="Times New Roman" w:eastAsia="仿宋" w:cs="Times New Roman"/>
          <w:color w:val="auto"/>
          <w:spacing w:val="0"/>
          <w:kern w:val="0"/>
          <w:sz w:val="34"/>
          <w:szCs w:val="34"/>
          <w:lang w:eastAsia="zh-CN"/>
        </w:rPr>
        <w:t>全市</w:t>
      </w:r>
      <w:r>
        <w:rPr>
          <w:rFonts w:hint="default" w:ascii="Times New Roman" w:hAnsi="Times New Roman" w:eastAsia="仿宋" w:cs="Times New Roman"/>
          <w:color w:val="auto"/>
          <w:spacing w:val="0"/>
          <w:kern w:val="0"/>
          <w:sz w:val="34"/>
          <w:szCs w:val="34"/>
        </w:rPr>
        <w:t>各级</w:t>
      </w:r>
      <w:r>
        <w:rPr>
          <w:rFonts w:hint="default" w:ascii="Times New Roman" w:hAnsi="Times New Roman" w:eastAsia="仿宋" w:cs="Times New Roman"/>
          <w:color w:val="auto"/>
          <w:spacing w:val="0"/>
          <w:kern w:val="0"/>
          <w:sz w:val="34"/>
          <w:szCs w:val="34"/>
          <w:lang w:eastAsia="zh-CN"/>
        </w:rPr>
        <w:t>人代会</w:t>
      </w:r>
      <w:r>
        <w:rPr>
          <w:rFonts w:hint="default" w:ascii="Times New Roman" w:hAnsi="Times New Roman" w:eastAsia="仿宋" w:cs="Times New Roman"/>
          <w:color w:val="auto"/>
          <w:spacing w:val="0"/>
          <w:kern w:val="0"/>
          <w:sz w:val="34"/>
          <w:szCs w:val="34"/>
        </w:rPr>
        <w:t>批准的</w:t>
      </w:r>
      <w:r>
        <w:rPr>
          <w:rFonts w:hint="default" w:ascii="Times New Roman" w:hAnsi="Times New Roman" w:eastAsia="仿宋" w:cs="Times New Roman"/>
          <w:color w:val="auto"/>
          <w:spacing w:val="0"/>
          <w:kern w:val="0"/>
          <w:sz w:val="34"/>
          <w:szCs w:val="34"/>
          <w:lang w:val="en-US" w:eastAsia="zh-CN"/>
        </w:rPr>
        <w:t>2023年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</w:rPr>
        <w:t>一般公共预算</w:t>
      </w:r>
      <w:r>
        <w:rPr>
          <w:rFonts w:hint="default" w:ascii="Times New Roman" w:hAnsi="Times New Roman" w:eastAsia="仿宋" w:cs="Times New Roman"/>
          <w:color w:val="auto"/>
          <w:spacing w:val="0"/>
          <w:kern w:val="0"/>
          <w:sz w:val="34"/>
          <w:szCs w:val="34"/>
        </w:rPr>
        <w:t>支出年初预算数为2</w:t>
      </w:r>
      <w:r>
        <w:rPr>
          <w:rFonts w:hint="default" w:ascii="Times New Roman" w:hAnsi="Times New Roman" w:eastAsia="仿宋" w:cs="Times New Roman"/>
          <w:color w:val="auto"/>
          <w:spacing w:val="0"/>
          <w:kern w:val="0"/>
          <w:sz w:val="34"/>
          <w:szCs w:val="34"/>
          <w:lang w:val="en-US" w:eastAsia="zh-CN"/>
        </w:rPr>
        <w:t>334115</w:t>
      </w:r>
      <w:r>
        <w:rPr>
          <w:rFonts w:hint="default" w:ascii="Times New Roman" w:hAnsi="Times New Roman" w:eastAsia="仿宋" w:cs="Times New Roman"/>
          <w:color w:val="auto"/>
          <w:spacing w:val="0"/>
          <w:kern w:val="0"/>
          <w:sz w:val="34"/>
          <w:szCs w:val="34"/>
        </w:rPr>
        <w:t>万元，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</w:rPr>
        <w:t>调整后支出预算数为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  <w:lang w:val="en-US" w:eastAsia="zh-CN"/>
        </w:rPr>
        <w:t>3027953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</w:rPr>
        <w:t>万元。全市一般公共预算支出完成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  <w:lang w:val="en-US" w:eastAsia="zh-CN"/>
        </w:rPr>
        <w:t>2830574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</w:rPr>
        <w:t>万元，为调整预算数（以下简称预算数）的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  <w:lang w:val="en-US" w:eastAsia="zh-CN"/>
        </w:rPr>
        <w:t>93.5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</w:rPr>
        <w:t>%，为上年决算数的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  <w:lang w:val="en-US" w:eastAsia="zh-CN"/>
        </w:rPr>
        <w:t>102.6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80" w:firstLineChars="200"/>
        <w:textAlignment w:val="auto"/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</w:rPr>
      </w:pP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  <w:lang w:val="en-US" w:eastAsia="zh-CN"/>
        </w:rPr>
        <w:t>2023年全市一般公共预算支出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</w:rPr>
        <w:t>主要项目执行情况是：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80" w:firstLineChars="200"/>
        <w:textAlignment w:val="auto"/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</w:rPr>
      </w:pP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</w:rPr>
        <w:t>1、一般公共服务支出完成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  <w:lang w:val="en-US" w:eastAsia="zh-CN"/>
        </w:rPr>
        <w:t>539834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</w:rPr>
        <w:t>万元，为预算数的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  <w:lang w:val="en-US" w:eastAsia="zh-CN"/>
        </w:rPr>
        <w:t>100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</w:rPr>
        <w:t>%，为上年决算数的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  <w:lang w:val="en-US" w:eastAsia="zh-CN"/>
        </w:rPr>
        <w:t>114.6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80" w:firstLineChars="200"/>
        <w:textAlignment w:val="auto"/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</w:rPr>
      </w:pP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</w:rPr>
        <w:t>2、国防支出完成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  <w:lang w:val="en-US" w:eastAsia="zh-CN"/>
        </w:rPr>
        <w:t>2682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</w:rPr>
        <w:t>万元，为预算数的9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  <w:lang w:val="en-US" w:eastAsia="zh-CN"/>
        </w:rPr>
        <w:t>9.2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</w:rPr>
        <w:t>%，为上年决算数的</w:t>
      </w:r>
      <w:r>
        <w:rPr>
          <w:rFonts w:hint="eastAsia" w:eastAsia="仿宋" w:cs="Times New Roman"/>
          <w:color w:val="auto"/>
          <w:spacing w:val="0"/>
          <w:sz w:val="34"/>
          <w:szCs w:val="34"/>
          <w:lang w:val="en-US" w:eastAsia="zh-CN"/>
        </w:rPr>
        <w:t>86.3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80" w:firstLineChars="200"/>
        <w:textAlignment w:val="auto"/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</w:rPr>
      </w:pP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</w:rPr>
        <w:t>3、公共安全支出完成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  <w:lang w:val="en-US" w:eastAsia="zh-CN"/>
        </w:rPr>
        <w:t>102229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</w:rPr>
        <w:t>万元，为预算数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  <w:lang w:eastAsia="zh-CN"/>
        </w:rPr>
        <w:t>的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  <w:lang w:val="en-US" w:eastAsia="zh-CN"/>
        </w:rPr>
        <w:t>98.6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</w:rPr>
        <w:t>%，为上年决算数的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  <w:lang w:val="en-US" w:eastAsia="zh-CN"/>
        </w:rPr>
        <w:t>104.7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80" w:firstLineChars="200"/>
        <w:textAlignment w:val="auto"/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</w:rPr>
      </w:pP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</w:rPr>
        <w:t>4、教育支出完成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  <w:lang w:val="en-US" w:eastAsia="zh-CN"/>
        </w:rPr>
        <w:t>462438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</w:rPr>
        <w:t>万元，为预算数的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  <w:lang w:val="en-US" w:eastAsia="zh-CN"/>
        </w:rPr>
        <w:t>98.1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</w:rPr>
        <w:t>%，为上年决算数的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  <w:lang w:val="en-US" w:eastAsia="zh-CN"/>
        </w:rPr>
        <w:t>100.4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80" w:firstLineChars="200"/>
        <w:textAlignment w:val="auto"/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</w:rPr>
      </w:pP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</w:rPr>
        <w:t>5、科学技术支出完成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  <w:lang w:val="en-US" w:eastAsia="zh-CN"/>
        </w:rPr>
        <w:t>135860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</w:rPr>
        <w:t>万元，为预算数的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  <w:lang w:val="en-US" w:eastAsia="zh-CN"/>
        </w:rPr>
        <w:t>94.4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</w:rPr>
        <w:t>%，为上年决算数的1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  <w:lang w:val="en-US" w:eastAsia="zh-CN"/>
        </w:rPr>
        <w:t>24.5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80" w:firstLineChars="200"/>
        <w:textAlignment w:val="auto"/>
        <w:rPr>
          <w:rFonts w:hint="default" w:ascii="Times New Roman" w:hAnsi="Times New Roman" w:eastAsia="仿宋" w:cs="Times New Roman"/>
          <w:color w:val="auto"/>
          <w:spacing w:val="0"/>
          <w:kern w:val="0"/>
          <w:sz w:val="34"/>
          <w:szCs w:val="34"/>
        </w:rPr>
      </w:pP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</w:rPr>
        <w:t>6、文化旅游体育与传媒支出完成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  <w:lang w:val="en-US" w:eastAsia="zh-CN"/>
        </w:rPr>
        <w:t>36974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</w:rPr>
        <w:t>万元，为预算数的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  <w:lang w:val="en-US" w:eastAsia="zh-CN"/>
        </w:rPr>
        <w:t>98.2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</w:rPr>
        <w:t>%，为上年决算数的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  <w:lang w:val="en-US" w:eastAsia="zh-CN"/>
        </w:rPr>
        <w:t>115.3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</w:rPr>
        <w:t>%</w:t>
      </w:r>
      <w:r>
        <w:rPr>
          <w:rFonts w:hint="default" w:ascii="Times New Roman" w:hAnsi="Times New Roman" w:eastAsia="仿宋" w:cs="Times New Roman"/>
          <w:color w:val="auto"/>
          <w:spacing w:val="0"/>
          <w:kern w:val="0"/>
          <w:sz w:val="34"/>
          <w:szCs w:val="3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80" w:firstLineChars="200"/>
        <w:textAlignment w:val="auto"/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</w:rPr>
      </w:pP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</w:rPr>
        <w:t>7、社会保障和就业支出完成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  <w:lang w:val="en-US" w:eastAsia="zh-CN"/>
        </w:rPr>
        <w:t>275398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</w:rPr>
        <w:t>万元，为预算数的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  <w:lang w:val="en-US" w:eastAsia="zh-CN"/>
        </w:rPr>
        <w:t>98.6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</w:rPr>
        <w:t>%，为上年决算数的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  <w:lang w:val="en-US" w:eastAsia="zh-CN"/>
        </w:rPr>
        <w:t>102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80" w:firstLineChars="200"/>
        <w:textAlignment w:val="auto"/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</w:rPr>
      </w:pP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</w:rPr>
        <w:t>8、卫生健康支出完成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  <w:lang w:val="en-US" w:eastAsia="zh-CN"/>
        </w:rPr>
        <w:t>305680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</w:rPr>
        <w:t>万元，为预算数的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  <w:lang w:val="en-US" w:eastAsia="zh-CN"/>
        </w:rPr>
        <w:t>99.1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</w:rPr>
        <w:t>%，为上年决算数的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  <w:lang w:val="en-US" w:eastAsia="zh-CN"/>
        </w:rPr>
        <w:t>89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</w:rPr>
        <w:t>%。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40" w:lineRule="exact"/>
        <w:ind w:firstLine="68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</w:rPr>
      </w:pP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</w:rPr>
        <w:t>9、节能环保支出完成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  <w:lang w:val="en-US" w:eastAsia="zh-CN"/>
        </w:rPr>
        <w:t>76196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</w:rPr>
        <w:t>万元，为预算数的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  <w:lang w:val="en-US" w:eastAsia="zh-CN"/>
        </w:rPr>
        <w:t>75.1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</w:rPr>
        <w:t>%，为上年决算数的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  <w:lang w:val="en-US" w:eastAsia="zh-CN"/>
        </w:rPr>
        <w:t>103.9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80" w:firstLineChars="200"/>
        <w:textAlignment w:val="auto"/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</w:rPr>
      </w:pP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</w:rPr>
        <w:t>10、城乡社区支出完成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  <w:lang w:val="en-US" w:eastAsia="zh-CN"/>
        </w:rPr>
        <w:t>194818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</w:rPr>
        <w:t>万元，为预算数的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  <w:lang w:val="en-US" w:eastAsia="zh-CN"/>
        </w:rPr>
        <w:t>87.5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</w:rPr>
        <w:t>%，为上年决算数的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  <w:lang w:val="en-US" w:eastAsia="zh-CN"/>
        </w:rPr>
        <w:t>99.8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80" w:firstLineChars="200"/>
        <w:textAlignment w:val="auto"/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</w:rPr>
      </w:pP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</w:rPr>
        <w:t>11、农林水支出完成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  <w:lang w:val="en-US" w:eastAsia="zh-CN"/>
        </w:rPr>
        <w:t>318444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</w:rPr>
        <w:t>万元，为预算数的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  <w:lang w:val="en-US" w:eastAsia="zh-CN"/>
        </w:rPr>
        <w:t>91.7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</w:rPr>
        <w:t>%，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  <w:lang w:eastAsia="zh-CN"/>
        </w:rPr>
        <w:t>为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</w:rPr>
        <w:t>上年决算数的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  <w:lang w:val="en-US" w:eastAsia="zh-CN"/>
        </w:rPr>
        <w:t>103.2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80" w:firstLineChars="200"/>
        <w:textAlignment w:val="auto"/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</w:rPr>
      </w:pP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</w:rPr>
        <w:t>12、交通运输支出完成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  <w:lang w:val="en-US" w:eastAsia="zh-CN"/>
        </w:rPr>
        <w:t>118163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</w:rPr>
        <w:t>万元，为预算数的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  <w:lang w:val="en-US" w:eastAsia="zh-CN"/>
        </w:rPr>
        <w:t>81.8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</w:rPr>
        <w:t>%，为上年决算数的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  <w:lang w:val="en-US" w:eastAsia="zh-CN"/>
        </w:rPr>
        <w:t>89.4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80" w:firstLineChars="200"/>
        <w:textAlignment w:val="auto"/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</w:rPr>
      </w:pP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</w:rPr>
        <w:t>13、资源勘探工业信息等支出完成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  <w:lang w:val="en-US" w:eastAsia="zh-CN"/>
        </w:rPr>
        <w:t>33956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</w:rPr>
        <w:t>万元，为预算数的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  <w:lang w:val="en-US" w:eastAsia="zh-CN"/>
        </w:rPr>
        <w:t>97.1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</w:rPr>
        <w:t>%，为上年决算数的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  <w:lang w:val="en-US" w:eastAsia="zh-CN"/>
        </w:rPr>
        <w:t>91.6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80" w:firstLineChars="200"/>
        <w:textAlignment w:val="auto"/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</w:rPr>
      </w:pP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</w:rPr>
        <w:t>14、商业服务业等支出完成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  <w:lang w:val="en-US" w:eastAsia="zh-CN"/>
        </w:rPr>
        <w:t>8305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</w:rPr>
        <w:t>万元，为预算数的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  <w:lang w:val="en-US" w:eastAsia="zh-CN"/>
        </w:rPr>
        <w:t>93.8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</w:rPr>
        <w:t>%，为上年决算数的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  <w:lang w:val="en-US" w:eastAsia="zh-CN"/>
        </w:rPr>
        <w:t>114.2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80" w:firstLineChars="200"/>
        <w:textAlignment w:val="auto"/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</w:rPr>
      </w:pP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</w:rPr>
        <w:t>15、金融支出完成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  <w:lang w:val="en-US" w:eastAsia="zh-CN"/>
        </w:rPr>
        <w:t>906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</w:rPr>
        <w:t>万元，为预算数的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  <w:lang w:val="en-US" w:eastAsia="zh-CN"/>
        </w:rPr>
        <w:t>96.9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</w:rPr>
        <w:t>%，为上年决算数的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  <w:lang w:val="en-US" w:eastAsia="zh-CN"/>
        </w:rPr>
        <w:t>203.1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80" w:firstLineChars="200"/>
        <w:textAlignment w:val="auto"/>
        <w:rPr>
          <w:rFonts w:hint="default" w:ascii="Times New Roman" w:hAnsi="Times New Roman" w:eastAsia="仿宋" w:cs="Times New Roman"/>
          <w:b/>
          <w:color w:val="auto"/>
          <w:spacing w:val="0"/>
          <w:sz w:val="34"/>
          <w:szCs w:val="34"/>
        </w:rPr>
      </w:pP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</w:rPr>
        <w:t>16、自然资源海洋气象等支出完成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  <w:lang w:val="en-US" w:eastAsia="zh-CN"/>
        </w:rPr>
        <w:t>34652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</w:rPr>
        <w:t>万元，为预算数的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  <w:lang w:val="en-US" w:eastAsia="zh-CN"/>
        </w:rPr>
        <w:t>50.2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</w:rPr>
        <w:t>%，为上年决算数的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  <w:lang w:val="en-US" w:eastAsia="zh-CN"/>
        </w:rPr>
        <w:t>112.6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80" w:firstLineChars="200"/>
        <w:textAlignment w:val="auto"/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</w:rPr>
      </w:pP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</w:rPr>
        <w:t>17、住房保障支出完成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  <w:lang w:val="en-US" w:eastAsia="zh-CN"/>
        </w:rPr>
        <w:t>72114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</w:rPr>
        <w:t>万元，为预算数的9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  <w:lang w:val="en-US" w:eastAsia="zh-CN"/>
        </w:rPr>
        <w:t>7.6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</w:rPr>
        <w:t>%，为上年决算数的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  <w:lang w:val="en-US" w:eastAsia="zh-CN"/>
        </w:rPr>
        <w:t>100.9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80" w:firstLineChars="200"/>
        <w:textAlignment w:val="auto"/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</w:rPr>
      </w:pP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</w:rPr>
        <w:t>18、粮油物资储备支出完成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  <w:lang w:val="en-US" w:eastAsia="zh-CN"/>
        </w:rPr>
        <w:t>11029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</w:rPr>
        <w:t>万元，为预算数的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  <w:lang w:val="en-US" w:eastAsia="zh-CN"/>
        </w:rPr>
        <w:t>87.6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</w:rPr>
        <w:t>%，为上年决算数的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  <w:lang w:val="en-US" w:eastAsia="zh-CN"/>
        </w:rPr>
        <w:t>73.8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80" w:firstLineChars="200"/>
        <w:jc w:val="both"/>
        <w:textAlignment w:val="auto"/>
        <w:rPr>
          <w:rFonts w:hint="default" w:ascii="Times New Roman" w:hAnsi="Times New Roman" w:cs="Times New Roman"/>
          <w:color w:val="auto"/>
          <w:spacing w:val="0"/>
        </w:rPr>
      </w:pP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</w:rPr>
        <w:t>19、灾害防治及应急管理支出完成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  <w:lang w:val="en-US" w:eastAsia="zh-CN"/>
        </w:rPr>
        <w:t>23004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</w:rPr>
        <w:t>万元，为预算数的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  <w:lang w:val="en-US" w:eastAsia="zh-CN"/>
        </w:rPr>
        <w:t>81.7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</w:rPr>
        <w:t>%，为上年决算数的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  <w:lang w:val="en-US" w:eastAsia="zh-CN"/>
        </w:rPr>
        <w:t>125.3</w:t>
      </w: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8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  <w:lang w:val="en-US" w:eastAsia="zh-CN"/>
        </w:rPr>
        <w:t>20、债务付息支出完成39605万元，为预算数的99.4%，为上年决算数的103.8%。</w:t>
      </w:r>
    </w:p>
    <w:p>
      <w:pPr>
        <w:jc w:val="center"/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pacing w:val="0"/>
          <w:sz w:val="34"/>
          <w:szCs w:val="34"/>
          <w:lang w:val="en-US" w:eastAsia="zh-CN"/>
        </w:rPr>
        <w:br w:type="page"/>
      </w:r>
      <w:bookmarkStart w:id="2" w:name="_Toc446057892"/>
    </w:p>
    <w:tbl>
      <w:tblPr>
        <w:tblStyle w:val="10"/>
        <w:tblW w:w="858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11"/>
        <w:gridCol w:w="919"/>
        <w:gridCol w:w="975"/>
        <w:gridCol w:w="937"/>
        <w:gridCol w:w="1152"/>
        <w:gridCol w:w="9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jc w:val="center"/>
        </w:trPr>
        <w:tc>
          <w:tcPr>
            <w:tcW w:w="8582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2023年市级一般公共预算收入执行情况表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82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9" w:hRule="atLeast"/>
          <w:jc w:val="center"/>
        </w:trPr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   目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年初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预算数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调整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预算数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执行数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为调整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预算数%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为上年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决算数%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税收收入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120,000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85,200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84,493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99.2%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198.9%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国内增值税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56,000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42,490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41,802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98.4%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343.7%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企业所得税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19,000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4,500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4,469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99.3%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71.6%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个人所得税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12,000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3,870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3,871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100.0%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104.6%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资源税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4,600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6,720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6,725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100.1%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302.5%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9,000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5,160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5,165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100.1%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房产税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6,000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3,270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3,267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99.9%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130.5%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印花税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1,000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3,800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3,791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99.8%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412.5%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城镇土地使用税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3,790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3,786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99.9%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1545.3%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土地增值税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1,000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1,300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1,322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101.7%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224.4%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车船税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781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97.6%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388.6%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契税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9,000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8,500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8,477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99.7%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95.8%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环境保护税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1,800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1,000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1,037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103.7%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120.2%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非税收入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61,650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162,800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163,569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100.5%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120.3%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专项收入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6,000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5,500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5,404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98.3%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行政事业性收费收入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16,000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28,300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28,281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99.9%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罚没收入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14,000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13,500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13,409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99.3%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144.9%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国有资本经营收入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10,000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2,500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2,498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99.9%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国有资源(资产)有偿使用收入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2,000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67,000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67,339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100.5%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171.2%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政府住房基金收入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10,000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20,000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20,555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102.8%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111.8%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3,650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26,000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26,083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100.3%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73.5%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   计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181,650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248,000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248,062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100.0%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8582" w:type="dxa"/>
            <w:gridSpan w:val="6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备注：年初预算数为市级人代会批准的年初预算数。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</w:p>
        </w:tc>
      </w:tr>
    </w:tbl>
    <w:p>
      <w:pPr>
        <w:rPr>
          <w:rFonts w:hint="default" w:ascii="Times New Roman" w:hAnsi="Times New Roman" w:eastAsia="方正大标宋简体" w:cs="Times New Roman"/>
          <w:color w:val="auto"/>
          <w:spacing w:val="-17"/>
          <w:sz w:val="40"/>
          <w:szCs w:val="40"/>
        </w:rPr>
      </w:pPr>
      <w:r>
        <w:rPr>
          <w:rFonts w:hint="default" w:ascii="Times New Roman" w:hAnsi="Times New Roman" w:eastAsia="方正大标宋简体" w:cs="Times New Roman"/>
          <w:color w:val="auto"/>
          <w:spacing w:val="-17"/>
          <w:sz w:val="40"/>
          <w:szCs w:val="40"/>
        </w:rPr>
        <w:br w:type="page"/>
      </w:r>
    </w:p>
    <w:p>
      <w:pPr>
        <w:jc w:val="center"/>
        <w:rPr>
          <w:rFonts w:hint="default" w:ascii="Times New Roman" w:hAnsi="Times New Roman" w:eastAsia="方正大标宋简体" w:cs="Times New Roman"/>
          <w:color w:val="auto"/>
          <w:spacing w:val="-17"/>
          <w:sz w:val="40"/>
          <w:szCs w:val="40"/>
        </w:rPr>
      </w:pPr>
      <w:r>
        <w:rPr>
          <w:rFonts w:hint="default" w:ascii="Times New Roman" w:hAnsi="Times New Roman" w:eastAsia="方正大标宋简体" w:cs="Times New Roman"/>
          <w:color w:val="auto"/>
          <w:spacing w:val="-17"/>
          <w:sz w:val="40"/>
          <w:szCs w:val="40"/>
        </w:rPr>
        <w:t>关于</w:t>
      </w:r>
      <w:r>
        <w:rPr>
          <w:rFonts w:hint="default" w:ascii="Times New Roman" w:hAnsi="Times New Roman" w:eastAsia="方正大标宋简体" w:cs="Times New Roman"/>
          <w:color w:val="auto"/>
          <w:spacing w:val="-17"/>
          <w:sz w:val="40"/>
          <w:szCs w:val="40"/>
          <w:lang w:eastAsia="zh-CN"/>
        </w:rPr>
        <w:t>2023年</w:t>
      </w:r>
      <w:r>
        <w:rPr>
          <w:rFonts w:hint="default" w:ascii="Times New Roman" w:hAnsi="Times New Roman" w:eastAsia="方正大标宋简体" w:cs="Times New Roman"/>
          <w:color w:val="auto"/>
          <w:spacing w:val="-17"/>
          <w:sz w:val="40"/>
          <w:szCs w:val="40"/>
        </w:rPr>
        <w:t>市级一般公共预算收入执行情况的说明</w:t>
      </w:r>
      <w:bookmarkEnd w:id="2"/>
    </w:p>
    <w:p>
      <w:pPr>
        <w:spacing w:line="600" w:lineRule="exact"/>
        <w:ind w:firstLine="683" w:firstLineChars="200"/>
        <w:rPr>
          <w:rFonts w:hint="default" w:ascii="Times New Roman" w:hAnsi="Times New Roman" w:eastAsia="仿宋" w:cs="Times New Roman"/>
          <w:b/>
          <w:color w:val="auto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" w:cs="Times New Roman"/>
          <w:color w:val="auto"/>
          <w:sz w:val="34"/>
          <w:szCs w:val="34"/>
          <w:lang w:eastAsia="zh-CN"/>
        </w:rPr>
        <w:t>2023年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市级一般公共预算收入年初预算数为1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81650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万元，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年初预算数调整为248000万元（以下简称预算数）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实际完成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248062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万元，为预算数的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1</w:t>
      </w:r>
      <w:r>
        <w:rPr>
          <w:rFonts w:hint="eastAsia" w:eastAsia="仿宋" w:cs="Times New Roman"/>
          <w:color w:val="auto"/>
          <w:sz w:val="34"/>
          <w:szCs w:val="34"/>
          <w:lang w:val="en-US" w:eastAsia="zh-CN"/>
        </w:rPr>
        <w:t>00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%，为上年决算数的1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39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%。其中，税收收入完成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84493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万元，为预算数的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99.2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%，为上年决算数的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198.9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%；非税收入完成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163569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万元，为预算数的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100.5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%，为上年决算数的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120.3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2023年市级一般公共预算收入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主要项目执行情况是：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1、增值税完成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41802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万元，为预算数的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98.4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%，为上年决算数的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343.7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2、企业所得税完成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4469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万元，为预算数的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99.3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%，为上年决算数的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71.6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3、个人所得税完成3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871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万元，为预算数的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100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%，为上年决算数的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104.6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4、资源税完成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6725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万元，为预算数的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100.1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%，为上年决算数的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302.5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4"/>
          <w:szCs w:val="34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5、城市维护建设税完成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5165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万元，为预算数的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100.1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%，为上年决算数的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130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6、房产税完成3267万元，为预算数的99.9%，为上年决算数的130.5%。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7、印花税完成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3791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万元，为预算数的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99.8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%，为上年决算数的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412.5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8、城镇土地使用税完成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3786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万元，为预算数的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99.9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%，为上年决算数的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1545.3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9、土地增值税完成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1322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万元，为预算数的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101.7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%，为上年决算数的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224.4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10、车船税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完成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781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万元，为预算数的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97.6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%，为上年决算数的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388.6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1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、契税完成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8477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万元，为预算数的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99.7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%，为上年决算数的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95.8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1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、环境保护税完成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1037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万元，为预算数的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103.7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%，为上年决算数的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120.2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1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、专项收入完成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5404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万元，为预算数的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98.3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%，为上年决算数的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100.3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1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、行政事业性收费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eastAsia="zh-CN"/>
        </w:rPr>
        <w:t>收入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完成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28281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万元，为预算数的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99.9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%，为上年决算数的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100.6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1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、罚没收入完成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13409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万元，为预算数的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99.3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%，为上年决算数的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144.9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spacing w:val="-11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16、国</w:t>
      </w:r>
      <w:r>
        <w:rPr>
          <w:rFonts w:hint="default" w:ascii="Times New Roman" w:hAnsi="Times New Roman" w:eastAsia="仿宋" w:cs="Times New Roman"/>
          <w:color w:val="auto"/>
          <w:spacing w:val="-11"/>
          <w:sz w:val="34"/>
          <w:szCs w:val="34"/>
          <w:lang w:val="en-US" w:eastAsia="zh-CN"/>
        </w:rPr>
        <w:t>有资本经营收入</w:t>
      </w:r>
      <w:r>
        <w:rPr>
          <w:rFonts w:hint="default" w:ascii="Times New Roman" w:hAnsi="Times New Roman" w:eastAsia="仿宋" w:cs="Times New Roman"/>
          <w:color w:val="auto"/>
          <w:spacing w:val="-11"/>
          <w:sz w:val="34"/>
          <w:szCs w:val="34"/>
        </w:rPr>
        <w:t>完成</w:t>
      </w:r>
      <w:r>
        <w:rPr>
          <w:rFonts w:hint="default" w:ascii="Times New Roman" w:hAnsi="Times New Roman" w:eastAsia="仿宋" w:cs="Times New Roman"/>
          <w:color w:val="auto"/>
          <w:spacing w:val="-11"/>
          <w:sz w:val="34"/>
          <w:szCs w:val="34"/>
          <w:lang w:val="en-US" w:eastAsia="zh-CN"/>
        </w:rPr>
        <w:t>2498</w:t>
      </w:r>
      <w:r>
        <w:rPr>
          <w:rFonts w:hint="default" w:ascii="Times New Roman" w:hAnsi="Times New Roman" w:eastAsia="仿宋" w:cs="Times New Roman"/>
          <w:color w:val="auto"/>
          <w:spacing w:val="-11"/>
          <w:sz w:val="34"/>
          <w:szCs w:val="34"/>
        </w:rPr>
        <w:t>万元，为预算数的</w:t>
      </w:r>
      <w:r>
        <w:rPr>
          <w:rFonts w:hint="default" w:ascii="Times New Roman" w:hAnsi="Times New Roman" w:eastAsia="仿宋" w:cs="Times New Roman"/>
          <w:color w:val="auto"/>
          <w:spacing w:val="-11"/>
          <w:sz w:val="34"/>
          <w:szCs w:val="34"/>
          <w:lang w:val="en-US" w:eastAsia="zh-CN"/>
        </w:rPr>
        <w:t>99.9</w:t>
      </w:r>
      <w:r>
        <w:rPr>
          <w:rFonts w:hint="default" w:ascii="Times New Roman" w:hAnsi="Times New Roman" w:eastAsia="仿宋" w:cs="Times New Roman"/>
          <w:color w:val="auto"/>
          <w:spacing w:val="-11"/>
          <w:sz w:val="34"/>
          <w:szCs w:val="3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1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、国有资源（资产）有偿使用收入完成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67339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万元，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eastAsia="zh-CN"/>
        </w:rPr>
        <w:t>为预算数的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100.5%，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为上年决算数的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171.2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1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、政府住房基金收入完成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20555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万元，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为预算数的102.8</w:t>
      </w:r>
      <w:r>
        <w:rPr>
          <w:rFonts w:hint="eastAsia" w:eastAsia="仿宋" w:cs="Times New Roman"/>
          <w:color w:val="auto"/>
          <w:sz w:val="34"/>
          <w:szCs w:val="34"/>
          <w:lang w:val="en-US" w:eastAsia="zh-CN"/>
        </w:rPr>
        <w:t>%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为上年决算数的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111.8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color w:val="auto"/>
          <w:spacing w:val="-11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-11"/>
          <w:sz w:val="36"/>
          <w:szCs w:val="36"/>
          <w:lang w:val="en-US" w:eastAsia="zh-CN"/>
        </w:rPr>
        <w:br w:type="page"/>
      </w:r>
    </w:p>
    <w:tbl>
      <w:tblPr>
        <w:tblStyle w:val="10"/>
        <w:tblW w:w="86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20"/>
        <w:gridCol w:w="1154"/>
        <w:gridCol w:w="1200"/>
        <w:gridCol w:w="1106"/>
        <w:gridCol w:w="1144"/>
        <w:gridCol w:w="13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8648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bookmarkStart w:id="3" w:name="_Toc446057894"/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2023年市级一般公共预算支出执行情况表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720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468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  目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预算数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调整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预算数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执行数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为调整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预算数%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为上年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决算数%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41,081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66,541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66,466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99.9%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104.6%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国防支出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1,455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1,437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98.8%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210.1%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公共安全支出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32,110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46,510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46,496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100.0%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113.5%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67,632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118,246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112,716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95.3%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101.7%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科学技术支出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15,970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39,380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38,829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98.6%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112.5%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文化旅游体育与传媒支出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8,923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17,923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17,703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98.8%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117.7%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50,140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51,620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50,559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97.9%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64.5%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52,564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119,994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118,937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99.1%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110.2%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节能环保支出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11,500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18,500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17,826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96.4%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86.7%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40,900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63,900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42,832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67.0%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48.4%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20,942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28,579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27,776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97.2%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114.5%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交通运输支出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61,630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43,630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37,646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86.3%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48.2%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资源勘探工业信息等支出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4,950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2,750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2,630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95.6%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50.6%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商业服务业等支出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3,100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2,500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2,420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96.8%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72.5%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金融支出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721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96.1%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194.9%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自然资源海洋气象等支出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4,040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5,440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5,385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99.0%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111.4%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21,500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18,500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18,004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97.3%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66.6%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粮油物资储备支出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1,600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1,593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99.6%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106.2%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灾害防治及应急管理支出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3,130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7,630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7,562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99.1%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93.8%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债务付息支出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19,889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20,155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20,155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100.0%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88.2%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10,258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7,558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7,373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97.6%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90.8%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   计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471,214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683,161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645,066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94.4%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86.6%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8648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备注：1.年初预算数为汇总各级人代会批准的年初预算数。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2.调整预算数为年初预算加中央、省追加，上年结转，政府债务收入等安排的支出。</w:t>
            </w:r>
          </w:p>
        </w:tc>
      </w:tr>
    </w:tbl>
    <w:p>
      <w:pPr>
        <w:jc w:val="center"/>
        <w:rPr>
          <w:rFonts w:hint="default" w:ascii="Times New Roman" w:hAnsi="Times New Roman" w:eastAsia="方正大标宋简体" w:cs="Times New Roman"/>
          <w:color w:val="auto"/>
          <w:spacing w:val="-17"/>
          <w:sz w:val="40"/>
          <w:szCs w:val="40"/>
        </w:rPr>
      </w:pPr>
      <w:r>
        <w:rPr>
          <w:rFonts w:hint="default" w:ascii="Times New Roman" w:hAnsi="Times New Roman" w:eastAsia="方正大标宋简体" w:cs="Times New Roman"/>
          <w:color w:val="auto"/>
          <w:spacing w:val="-17"/>
          <w:sz w:val="40"/>
          <w:szCs w:val="40"/>
        </w:rPr>
        <w:t>关于</w:t>
      </w:r>
      <w:r>
        <w:rPr>
          <w:rFonts w:hint="default" w:ascii="Times New Roman" w:hAnsi="Times New Roman" w:eastAsia="方正大标宋简体" w:cs="Times New Roman"/>
          <w:color w:val="auto"/>
          <w:spacing w:val="-17"/>
          <w:sz w:val="40"/>
          <w:szCs w:val="40"/>
          <w:lang w:eastAsia="zh-CN"/>
        </w:rPr>
        <w:t>2023年</w:t>
      </w:r>
      <w:r>
        <w:rPr>
          <w:rFonts w:hint="default" w:ascii="Times New Roman" w:hAnsi="Times New Roman" w:eastAsia="方正大标宋简体" w:cs="Times New Roman"/>
          <w:color w:val="auto"/>
          <w:spacing w:val="-17"/>
          <w:sz w:val="40"/>
          <w:szCs w:val="40"/>
        </w:rPr>
        <w:t>市级一般公共预算支出执行情况的说明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spacing w:line="600" w:lineRule="exact"/>
        <w:ind w:firstLine="683" w:firstLineChars="200"/>
        <w:textAlignment w:val="auto"/>
        <w:rPr>
          <w:rFonts w:hint="default" w:ascii="Times New Roman" w:hAnsi="Times New Roman" w:eastAsia="仿宋" w:cs="Times New Roman"/>
          <w:b/>
          <w:color w:val="auto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/>
        <w:autoSpaceDE w:val="0"/>
        <w:autoSpaceDN/>
        <w:bidi w:val="0"/>
        <w:spacing w:line="640" w:lineRule="exact"/>
        <w:ind w:firstLine="680" w:firstLineChars="200"/>
        <w:textAlignment w:val="auto"/>
        <w:rPr>
          <w:rFonts w:hint="default" w:ascii="Times New Roman" w:hAnsi="Times New Roman" w:eastAsia="仿宋" w:cs="Times New Roman"/>
          <w:color w:val="auto"/>
          <w:sz w:val="34"/>
          <w:szCs w:val="34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4"/>
          <w:szCs w:val="34"/>
          <w:lang w:eastAsia="zh-CN"/>
        </w:rPr>
        <w:t>2023年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市级一般公共预算支出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eastAsia="zh-CN"/>
        </w:rPr>
        <w:t>年初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预算数为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471214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万元，调整后市级支出预算数为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6831</w:t>
      </w:r>
      <w:r>
        <w:rPr>
          <w:rFonts w:hint="eastAsia" w:eastAsia="仿宋" w:cs="Times New Roman"/>
          <w:color w:val="auto"/>
          <w:sz w:val="34"/>
          <w:szCs w:val="34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万元。一般公共预算支出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eastAsia="zh-CN"/>
        </w:rPr>
        <w:t>实际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完成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645066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万元，为调整预算数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以下简称预算数）的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94.4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</w:t>
      </w:r>
      <w:r>
        <w:rPr>
          <w:rFonts w:hint="default" w:ascii="Times New Roman" w:hAnsi="Times New Roman" w:eastAsia="仿宋" w:cs="Times New Roman"/>
          <w:color w:val="auto"/>
          <w:kern w:val="0"/>
          <w:sz w:val="34"/>
          <w:szCs w:val="34"/>
        </w:rPr>
        <w:t>，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为上年决算数的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86.6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/>
        <w:autoSpaceDE w:val="0"/>
        <w:autoSpaceDN/>
        <w:bidi w:val="0"/>
        <w:spacing w:line="640" w:lineRule="exact"/>
        <w:ind w:firstLine="680" w:firstLineChars="200"/>
        <w:textAlignment w:val="auto"/>
        <w:rPr>
          <w:rFonts w:hint="default" w:ascii="Times New Roman" w:hAnsi="Times New Roman" w:eastAsia="仿宋" w:cs="Times New Roman"/>
          <w:b/>
          <w:color w:val="auto"/>
          <w:sz w:val="34"/>
          <w:szCs w:val="34"/>
        </w:rPr>
      </w:pP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2023年市级一般公共预算支出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主要项目执行情况是：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spacing w:line="640" w:lineRule="exact"/>
        <w:ind w:firstLine="680" w:firstLineChars="200"/>
        <w:textAlignment w:val="auto"/>
        <w:rPr>
          <w:rFonts w:hint="default" w:ascii="Times New Roman" w:hAnsi="Times New Roman" w:eastAsia="仿宋" w:cs="Times New Roman"/>
          <w:color w:val="auto"/>
          <w:sz w:val="34"/>
          <w:szCs w:val="34"/>
        </w:rPr>
      </w:pPr>
      <w:bookmarkStart w:id="4" w:name="_Toc446057896"/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1、一般公共服务支出完成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66466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万元，为预算数的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99.9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%，为上年决算数的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104.6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spacing w:line="640" w:lineRule="exact"/>
        <w:ind w:firstLine="680" w:firstLineChars="200"/>
        <w:textAlignment w:val="auto"/>
        <w:rPr>
          <w:rFonts w:hint="default" w:ascii="Times New Roman" w:hAnsi="Times New Roman" w:eastAsia="仿宋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2、国防支出完成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1437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万元，为预算数的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98.8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%,为上年决算数的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210.1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spacing w:line="640" w:lineRule="exact"/>
        <w:ind w:firstLine="680" w:firstLineChars="200"/>
        <w:textAlignment w:val="auto"/>
        <w:rPr>
          <w:rFonts w:hint="default" w:ascii="Times New Roman" w:hAnsi="Times New Roman" w:eastAsia="仿宋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3、公共安全支出完成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46496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万元，为预算数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100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%，为上年决算数的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113.5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spacing w:line="640" w:lineRule="exact"/>
        <w:ind w:firstLine="680" w:firstLineChars="200"/>
        <w:textAlignment w:val="auto"/>
        <w:rPr>
          <w:rFonts w:hint="default" w:ascii="Times New Roman" w:hAnsi="Times New Roman" w:eastAsia="仿宋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4、教育支出完成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112716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万元，为预算数的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95.3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%，为上年决算数的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101.7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spacing w:line="640" w:lineRule="exact"/>
        <w:ind w:firstLine="680" w:firstLineChars="200"/>
        <w:textAlignment w:val="auto"/>
        <w:rPr>
          <w:rFonts w:hint="default" w:ascii="Times New Roman" w:hAnsi="Times New Roman" w:eastAsia="仿宋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5、科学技术支出完成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38829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万元，为预算数的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98.6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%，为上年决算数的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112.5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spacing w:line="640" w:lineRule="exact"/>
        <w:ind w:firstLine="680" w:firstLineChars="200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4"/>
          <w:szCs w:val="34"/>
        </w:rPr>
      </w:pP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6、</w:t>
      </w:r>
      <w:r>
        <w:rPr>
          <w:rFonts w:hint="default" w:ascii="Times New Roman" w:hAnsi="Times New Roman" w:eastAsia="仿宋" w:cs="Times New Roman"/>
          <w:color w:val="auto"/>
          <w:spacing w:val="4"/>
          <w:sz w:val="34"/>
          <w:szCs w:val="34"/>
        </w:rPr>
        <w:t>文化旅游体育与传媒支出完成1</w:t>
      </w:r>
      <w:r>
        <w:rPr>
          <w:rFonts w:hint="default" w:ascii="Times New Roman" w:hAnsi="Times New Roman" w:eastAsia="仿宋" w:cs="Times New Roman"/>
          <w:color w:val="auto"/>
          <w:spacing w:val="4"/>
          <w:sz w:val="34"/>
          <w:szCs w:val="34"/>
          <w:lang w:val="en-US" w:eastAsia="zh-CN"/>
        </w:rPr>
        <w:t>7703</w:t>
      </w:r>
      <w:r>
        <w:rPr>
          <w:rFonts w:hint="default" w:ascii="Times New Roman" w:hAnsi="Times New Roman" w:eastAsia="仿宋" w:cs="Times New Roman"/>
          <w:color w:val="auto"/>
          <w:spacing w:val="4"/>
          <w:sz w:val="34"/>
          <w:szCs w:val="34"/>
        </w:rPr>
        <w:t>万元，为预算数的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98.8</w:t>
      </w:r>
      <w:r>
        <w:rPr>
          <w:rFonts w:hint="default" w:ascii="Times New Roman" w:hAnsi="Times New Roman" w:eastAsia="仿宋" w:cs="Times New Roman"/>
          <w:color w:val="auto"/>
          <w:spacing w:val="4"/>
          <w:sz w:val="34"/>
          <w:szCs w:val="34"/>
        </w:rPr>
        <w:t>%，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为上年决算数的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117.7</w:t>
      </w:r>
      <w:r>
        <w:rPr>
          <w:rFonts w:hint="default" w:ascii="Times New Roman" w:hAnsi="Times New Roman" w:eastAsia="仿宋" w:cs="Times New Roman"/>
          <w:color w:val="auto"/>
          <w:spacing w:val="4"/>
          <w:sz w:val="34"/>
          <w:szCs w:val="34"/>
        </w:rPr>
        <w:t>%</w:t>
      </w:r>
      <w:r>
        <w:rPr>
          <w:rFonts w:hint="default" w:ascii="Times New Roman" w:hAnsi="Times New Roman" w:eastAsia="仿宋" w:cs="Times New Roman"/>
          <w:color w:val="auto"/>
          <w:spacing w:val="4"/>
          <w:kern w:val="0"/>
          <w:sz w:val="34"/>
          <w:szCs w:val="3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 w:val="0"/>
        <w:snapToGrid w:val="0"/>
        <w:spacing w:line="640" w:lineRule="exact"/>
        <w:ind w:firstLine="680" w:firstLineChars="200"/>
        <w:textAlignment w:val="auto"/>
        <w:rPr>
          <w:rFonts w:hint="default" w:ascii="Times New Roman" w:hAnsi="Times New Roman" w:eastAsia="仿宋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7、社会保障和就业支出完成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50559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万元，为预算数的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97.9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%，为上年决算数的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64.5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spacing w:line="640" w:lineRule="exact"/>
        <w:ind w:firstLine="680" w:firstLineChars="200"/>
        <w:textAlignment w:val="auto"/>
        <w:rPr>
          <w:rFonts w:hint="default" w:ascii="Times New Roman" w:hAnsi="Times New Roman" w:eastAsia="仿宋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8、卫生健康支出完成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118937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万元，为预算数的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99.1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%，为上年决算数的1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10.2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autoSpaceDN/>
        <w:bidi w:val="0"/>
        <w:spacing w:before="0" w:beforeAutospacing="0" w:after="0" w:afterAutospacing="0" w:line="640" w:lineRule="exact"/>
        <w:ind w:firstLine="68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9、节能环保支出完成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17826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万元，为预算数的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96.4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%，为上年决算数的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86.7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spacing w:line="640" w:lineRule="exact"/>
        <w:ind w:firstLine="680" w:firstLineChars="200"/>
        <w:textAlignment w:val="auto"/>
        <w:rPr>
          <w:rFonts w:hint="default" w:ascii="Times New Roman" w:hAnsi="Times New Roman" w:eastAsia="仿宋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10、城乡社区支出完成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42832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万元，为预算数的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67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%，为上年决算数的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48.4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spacing w:line="640" w:lineRule="exact"/>
        <w:ind w:firstLine="680" w:firstLineChars="200"/>
        <w:textAlignment w:val="auto"/>
        <w:rPr>
          <w:rFonts w:hint="default" w:ascii="Times New Roman" w:hAnsi="Times New Roman" w:eastAsia="仿宋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11、农林水支出完成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27776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万元，为预算数的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97.2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%，为上年决算数的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114.5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spacing w:line="640" w:lineRule="exact"/>
        <w:ind w:firstLine="680" w:firstLineChars="200"/>
        <w:textAlignment w:val="auto"/>
        <w:rPr>
          <w:rFonts w:hint="default" w:ascii="Times New Roman" w:hAnsi="Times New Roman" w:eastAsia="仿宋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12、交通运输支出完成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37646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万元，为预算数的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86.3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%，为上年决算数的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48.2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spacing w:line="640" w:lineRule="exact"/>
        <w:ind w:firstLine="680" w:firstLineChars="200"/>
        <w:textAlignment w:val="auto"/>
        <w:rPr>
          <w:rFonts w:hint="default" w:ascii="Times New Roman" w:hAnsi="Times New Roman" w:eastAsia="仿宋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13、资源勘探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eastAsia="zh-CN"/>
        </w:rPr>
        <w:t>工业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信息等支出完成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2630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万元，为预算数的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95.6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%，为上年决算数的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50.6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spacing w:line="640" w:lineRule="exact"/>
        <w:ind w:firstLine="680" w:firstLineChars="200"/>
        <w:textAlignment w:val="auto"/>
        <w:rPr>
          <w:rFonts w:hint="default" w:ascii="Times New Roman" w:hAnsi="Times New Roman" w:eastAsia="仿宋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14、商业服务业等支出完成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2420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万元，为预算数的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96.8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%，为上年决算数的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72.5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spacing w:line="640" w:lineRule="exact"/>
        <w:ind w:firstLine="680" w:firstLineChars="200"/>
        <w:textAlignment w:val="auto"/>
        <w:rPr>
          <w:rFonts w:hint="default" w:ascii="Times New Roman" w:hAnsi="Times New Roman" w:eastAsia="仿宋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15、金融支出完成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721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万元，为预算数的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96.1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%，为上年决算数的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194.9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spacing w:line="640" w:lineRule="exact"/>
        <w:ind w:firstLine="680" w:firstLineChars="200"/>
        <w:textAlignment w:val="auto"/>
        <w:rPr>
          <w:rFonts w:hint="default" w:ascii="Times New Roman" w:hAnsi="Times New Roman" w:eastAsia="仿宋" w:cs="Times New Roman"/>
          <w:b/>
          <w:color w:val="auto"/>
          <w:sz w:val="34"/>
          <w:szCs w:val="34"/>
        </w:rPr>
      </w:pP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16、自然资源海洋气象等支出完成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5385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万元，为预算数的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99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%，为上年决算数的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111.4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spacing w:line="640" w:lineRule="exact"/>
        <w:ind w:firstLine="680" w:firstLineChars="200"/>
        <w:textAlignment w:val="auto"/>
        <w:rPr>
          <w:rFonts w:hint="default" w:ascii="Times New Roman" w:hAnsi="Times New Roman" w:eastAsia="仿宋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17、住房保障支出完成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18004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万元，为预算数的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97.3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%，为上年决算数的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66.6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spacing w:line="640" w:lineRule="exact"/>
        <w:ind w:firstLine="680" w:firstLineChars="200"/>
        <w:textAlignment w:val="auto"/>
        <w:rPr>
          <w:rFonts w:hint="default" w:ascii="Times New Roman" w:hAnsi="Times New Roman" w:eastAsia="仿宋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18、粮油物资储备支出完成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1593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万元，为预算数的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99.6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%，为上年决算数的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106.2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spacing w:line="640" w:lineRule="exact"/>
        <w:ind w:firstLine="680" w:firstLineChars="200"/>
        <w:textAlignment w:val="auto"/>
        <w:rPr>
          <w:rFonts w:hint="default" w:ascii="Times New Roman" w:hAnsi="Times New Roman" w:eastAsia="仿宋" w:cs="Times New Roman"/>
          <w:color w:val="auto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19、灾害防治及应急管理支出完成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7562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万元，为预算数的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99.1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%，为上年决算数的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93.8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spacing w:line="640" w:lineRule="exact"/>
        <w:ind w:firstLine="68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20、债务付息支出完成20155万元，为预算数的100%，为上年决算数的88.2%。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spacing w:line="600" w:lineRule="exact"/>
        <w:ind w:firstLine="680" w:firstLineChars="200"/>
        <w:jc w:val="center"/>
        <w:textAlignment w:val="auto"/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br w:type="page"/>
      </w:r>
    </w:p>
    <w:tbl>
      <w:tblPr>
        <w:tblStyle w:val="10"/>
        <w:tblW w:w="86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63"/>
        <w:gridCol w:w="1469"/>
        <w:gridCol w:w="1044"/>
        <w:gridCol w:w="1326"/>
        <w:gridCol w:w="13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8648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2023年全市政府性基金预算收入执行情况表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63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7" w:hRule="atLeast"/>
        </w:trPr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 目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执行数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为预算数%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为上年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决算数%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国有土地收益基金收入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6,035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2,963 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49.1%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40.8%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农业土地开发资金收入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2,646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2,224 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84.1%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71.8%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国有土地使用权出让收入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256,740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165,035 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64.3%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48.6%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城市基础设施配套费收入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7,560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10,673 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141.2%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207.0%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污水处理费收入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12,842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7,935 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61.8%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其他政府性基金收入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3,584 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3584.0%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2800.0%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专项债务对应项目专项收入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52,349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180,114 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344.1%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244.3%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   计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451,462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372,528 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82.5%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85.3%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648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备注：年初预算数为汇总各级人代会批准的年初预算数</w:t>
            </w:r>
            <w:r>
              <w:rPr>
                <w:rFonts w:hint="eastAsia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/>
                <w:color w:val="auto"/>
                <w:kern w:val="0"/>
                <w:sz w:val="24"/>
                <w:lang w:bidi="ar"/>
              </w:rPr>
              <w:t>其他政府性基金收入变动较大原因是卢氏县</w:t>
            </w:r>
            <w:r>
              <w:rPr>
                <w:rFonts w:hint="eastAsia"/>
                <w:color w:val="auto"/>
                <w:kern w:val="0"/>
                <w:sz w:val="24"/>
                <w:lang w:eastAsia="zh-CN" w:bidi="ar"/>
              </w:rPr>
              <w:t>完成</w:t>
            </w:r>
            <w:r>
              <w:rPr>
                <w:rFonts w:hint="eastAsia"/>
                <w:color w:val="auto"/>
                <w:kern w:val="0"/>
                <w:sz w:val="24"/>
                <w:lang w:val="en-US" w:eastAsia="zh-CN" w:bidi="ar"/>
              </w:rPr>
              <w:t>3584万元且</w:t>
            </w:r>
            <w:r>
              <w:rPr>
                <w:rFonts w:hint="eastAsia"/>
                <w:color w:val="auto"/>
                <w:kern w:val="0"/>
                <w:sz w:val="24"/>
                <w:lang w:bidi="ar"/>
              </w:rPr>
              <w:t>上年基数较小。</w:t>
            </w:r>
          </w:p>
        </w:tc>
      </w:tr>
    </w:tbl>
    <w:p>
      <w:pPr>
        <w:rPr>
          <w:rFonts w:hint="default" w:ascii="Times New Roman" w:hAnsi="Times New Roman" w:eastAsia="方正大标宋简体" w:cs="Times New Roman"/>
          <w:color w:val="auto"/>
          <w:spacing w:val="-17"/>
          <w:sz w:val="40"/>
          <w:szCs w:val="40"/>
        </w:rPr>
      </w:pPr>
      <w:r>
        <w:rPr>
          <w:rFonts w:hint="default" w:ascii="Times New Roman" w:hAnsi="Times New Roman" w:eastAsia="方正大标宋简体" w:cs="Times New Roman"/>
          <w:color w:val="auto"/>
          <w:spacing w:val="-17"/>
          <w:sz w:val="40"/>
          <w:szCs w:val="40"/>
        </w:rPr>
        <w:br w:type="page"/>
      </w:r>
    </w:p>
    <w:p>
      <w:pPr>
        <w:rPr>
          <w:rFonts w:hint="default" w:ascii="Times New Roman" w:hAnsi="Times New Roman" w:eastAsia="方正大标宋简体" w:cs="Times New Roman"/>
          <w:color w:val="auto"/>
          <w:spacing w:val="-17"/>
          <w:sz w:val="40"/>
          <w:szCs w:val="40"/>
        </w:rPr>
      </w:pPr>
      <w:r>
        <w:rPr>
          <w:rFonts w:hint="default" w:ascii="Times New Roman" w:hAnsi="Times New Roman" w:eastAsia="方正大标宋简体" w:cs="Times New Roman"/>
          <w:color w:val="auto"/>
          <w:spacing w:val="-17"/>
          <w:sz w:val="40"/>
          <w:szCs w:val="40"/>
        </w:rPr>
        <w:t>关于</w:t>
      </w:r>
      <w:r>
        <w:rPr>
          <w:rFonts w:hint="default" w:ascii="Times New Roman" w:hAnsi="Times New Roman" w:eastAsia="方正大标宋简体" w:cs="Times New Roman"/>
          <w:color w:val="auto"/>
          <w:spacing w:val="-17"/>
          <w:sz w:val="40"/>
          <w:szCs w:val="40"/>
          <w:lang w:eastAsia="zh-CN"/>
        </w:rPr>
        <w:t>2023年</w:t>
      </w:r>
      <w:r>
        <w:rPr>
          <w:rFonts w:hint="default" w:ascii="Times New Roman" w:hAnsi="Times New Roman" w:eastAsia="方正大标宋简体" w:cs="Times New Roman"/>
          <w:color w:val="auto"/>
          <w:spacing w:val="-17"/>
          <w:sz w:val="40"/>
          <w:szCs w:val="40"/>
        </w:rPr>
        <w:t>全市政府性基金</w:t>
      </w:r>
      <w:r>
        <w:rPr>
          <w:rFonts w:hint="default" w:ascii="Times New Roman" w:hAnsi="Times New Roman" w:eastAsia="方正大标宋简体" w:cs="Times New Roman"/>
          <w:color w:val="auto"/>
          <w:spacing w:val="-17"/>
          <w:sz w:val="40"/>
          <w:szCs w:val="40"/>
          <w:lang w:eastAsia="zh-CN"/>
        </w:rPr>
        <w:t>预算</w:t>
      </w:r>
      <w:r>
        <w:rPr>
          <w:rFonts w:hint="default" w:ascii="Times New Roman" w:hAnsi="Times New Roman" w:eastAsia="方正大标宋简体" w:cs="Times New Roman"/>
          <w:color w:val="auto"/>
          <w:spacing w:val="-17"/>
          <w:sz w:val="40"/>
          <w:szCs w:val="40"/>
        </w:rPr>
        <w:t>收入执行情况的说明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83" w:firstLineChars="200"/>
        <w:textAlignment w:val="auto"/>
        <w:rPr>
          <w:rFonts w:hint="default" w:ascii="Times New Roman" w:hAnsi="Times New Roman" w:eastAsia="仿宋" w:cs="Times New Roman"/>
          <w:b/>
          <w:color w:val="auto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80" w:firstLineChars="200"/>
        <w:textAlignment w:val="auto"/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汇总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eastAsia="zh-CN"/>
        </w:rPr>
        <w:t>全市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各级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eastAsia="zh-CN"/>
        </w:rPr>
        <w:t>人代会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批准的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eastAsia="zh-CN"/>
        </w:rPr>
        <w:t>2023年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政府性基金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eastAsia="zh-CN"/>
        </w:rPr>
        <w:t>预算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收入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eastAsia="zh-CN"/>
        </w:rPr>
        <w:t>年初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预算数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eastAsia="zh-CN"/>
        </w:rPr>
        <w:t>（以下简称预算数）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为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451462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万元，实际完成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372528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万元，为预算数的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82.5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%，为上年决算数的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85.3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%。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724" w:firstLineChars="200"/>
        <w:textAlignment w:val="auto"/>
        <w:rPr>
          <w:rFonts w:hint="default" w:ascii="Times New Roman" w:hAnsi="Times New Roman" w:eastAsia="仿宋" w:cs="Times New Roman"/>
          <w:color w:val="auto"/>
          <w:spacing w:val="11"/>
          <w:sz w:val="34"/>
          <w:szCs w:val="34"/>
        </w:rPr>
      </w:pPr>
      <w:r>
        <w:rPr>
          <w:rFonts w:hint="default" w:ascii="Times New Roman" w:hAnsi="Times New Roman" w:eastAsia="仿宋" w:cs="Times New Roman"/>
          <w:color w:val="auto"/>
          <w:spacing w:val="11"/>
          <w:sz w:val="34"/>
          <w:szCs w:val="34"/>
          <w:lang w:val="en-US" w:eastAsia="zh-CN"/>
        </w:rPr>
        <w:t>2023年全市政府性基金预算</w:t>
      </w:r>
      <w:r>
        <w:rPr>
          <w:rFonts w:hint="default" w:ascii="Times New Roman" w:hAnsi="Times New Roman" w:eastAsia="仿宋" w:cs="Times New Roman"/>
          <w:color w:val="auto"/>
          <w:spacing w:val="11"/>
          <w:sz w:val="34"/>
          <w:szCs w:val="34"/>
          <w:lang w:eastAsia="zh-CN"/>
        </w:rPr>
        <w:t>收入</w:t>
      </w:r>
      <w:r>
        <w:rPr>
          <w:rFonts w:hint="default" w:ascii="Times New Roman" w:hAnsi="Times New Roman" w:eastAsia="仿宋" w:cs="Times New Roman"/>
          <w:color w:val="auto"/>
          <w:spacing w:val="11"/>
          <w:sz w:val="34"/>
          <w:szCs w:val="34"/>
        </w:rPr>
        <w:t>主要项目执行情况是：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80" w:firstLineChars="200"/>
        <w:textAlignment w:val="auto"/>
        <w:rPr>
          <w:rFonts w:hint="default" w:ascii="Times New Roman" w:hAnsi="Times New Roman" w:eastAsia="仿宋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、国有土地收益基金收入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eastAsia="zh-CN"/>
        </w:rPr>
        <w:t>完成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2963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万元，为预算数的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49.1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%，为上年决算数的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40.8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80" w:firstLineChars="200"/>
        <w:textAlignment w:val="auto"/>
        <w:rPr>
          <w:rFonts w:hint="default" w:ascii="Times New Roman" w:hAnsi="Times New Roman" w:eastAsia="仿宋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、农业土地开发资金收入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eastAsia="zh-CN"/>
        </w:rPr>
        <w:t>完成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2224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万元，为预算数的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84.1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%，为上年决算数的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71.8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80" w:firstLineChars="200"/>
        <w:textAlignment w:val="auto"/>
        <w:rPr>
          <w:rFonts w:hint="default" w:ascii="Times New Roman" w:hAnsi="Times New Roman" w:eastAsia="仿宋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、国有土地使用权出让收入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eastAsia="zh-CN"/>
        </w:rPr>
        <w:t>完成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165035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万元，为预算数的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64.3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%，为上年决算数的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48.6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80" w:firstLineChars="200"/>
        <w:textAlignment w:val="auto"/>
        <w:rPr>
          <w:rFonts w:hint="default" w:ascii="Times New Roman" w:hAnsi="Times New Roman" w:eastAsia="仿宋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、城市基础设施配套费收入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eastAsia="zh-CN"/>
        </w:rPr>
        <w:t>完成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10673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万元，为预算数的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141.2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%，为上年决算数的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207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80" w:firstLineChars="200"/>
        <w:textAlignment w:val="auto"/>
        <w:rPr>
          <w:rFonts w:hint="default" w:ascii="Times New Roman" w:hAnsi="Times New Roman" w:eastAsia="仿宋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5、污水处理费收入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eastAsia="zh-CN"/>
        </w:rPr>
        <w:t>完成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7935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万元，为预算数的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61.8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%，为上年决算数的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96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420" w:firstLineChars="200"/>
        <w:textAlignment w:val="auto"/>
        <w:rPr>
          <w:rFonts w:hint="default" w:ascii="Times New Roman" w:hAnsi="Times New Roman" w:eastAsia="仿宋" w:cs="Times New Roman"/>
          <w:color w:val="auto"/>
          <w:sz w:val="34"/>
          <w:szCs w:val="34"/>
        </w:rPr>
      </w:pPr>
      <w:bookmarkStart w:id="5" w:name="_Toc446057898"/>
      <w:r>
        <w:rPr>
          <w:rFonts w:hint="default" w:ascii="Times New Roman" w:hAnsi="Times New Roman" w:eastAsia="仿宋" w:cs="Times New Roman"/>
          <w:color w:val="auto"/>
          <w:lang w:eastAsia="zh-CN"/>
        </w:rPr>
        <w:tab/>
      </w:r>
      <w:r>
        <w:rPr>
          <w:rFonts w:hint="default" w:ascii="Times New Roman" w:hAnsi="Times New Roman" w:eastAsia="仿宋" w:cs="Times New Roman"/>
          <w:bCs w:val="0"/>
          <w:color w:val="auto"/>
          <w:kern w:val="2"/>
          <w:sz w:val="34"/>
          <w:szCs w:val="34"/>
          <w:lang w:val="en-US" w:eastAsia="zh-CN" w:bidi="ar-SA"/>
        </w:rPr>
        <w:t>6、专项债务对应项目专项收入完成180114万元，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为预算数的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344.1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%，为上年决算数的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244.3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%。</w:t>
      </w:r>
      <w:r>
        <w:rPr>
          <w:rFonts w:hint="eastAsia" w:eastAsia="仿宋"/>
          <w:color w:val="auto"/>
          <w:sz w:val="34"/>
          <w:szCs w:val="34"/>
        </w:rPr>
        <w:t>主要原因是灵宝市棚户区改造项目安置结余资产处置1</w:t>
      </w:r>
      <w:r>
        <w:rPr>
          <w:rFonts w:eastAsia="仿宋"/>
          <w:color w:val="auto"/>
          <w:sz w:val="34"/>
          <w:szCs w:val="34"/>
        </w:rPr>
        <w:t>20250</w:t>
      </w:r>
      <w:r>
        <w:rPr>
          <w:rFonts w:hint="eastAsia" w:eastAsia="仿宋"/>
          <w:color w:val="auto"/>
          <w:sz w:val="34"/>
          <w:szCs w:val="34"/>
        </w:rPr>
        <w:t>万元。</w:t>
      </w:r>
    </w:p>
    <w:p>
      <w:pPr>
        <w:rPr>
          <w:rFonts w:hint="default" w:ascii="Times New Roman" w:hAnsi="Times New Roman" w:eastAsia="仿宋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br w:type="page"/>
      </w:r>
    </w:p>
    <w:tbl>
      <w:tblPr>
        <w:tblStyle w:val="10"/>
        <w:tblW w:w="86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35"/>
        <w:gridCol w:w="1089"/>
        <w:gridCol w:w="1188"/>
        <w:gridCol w:w="878"/>
        <w:gridCol w:w="824"/>
        <w:gridCol w:w="11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646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2023年全市政府性基金预算支出执行情况表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353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36"/>
                <w:szCs w:val="36"/>
                <w:u w:val="none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36"/>
                <w:szCs w:val="36"/>
                <w:u w:val="none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36"/>
                <w:szCs w:val="36"/>
                <w:u w:val="none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36"/>
                <w:szCs w:val="36"/>
                <w:u w:val="none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36"/>
                <w:szCs w:val="36"/>
                <w:u w:val="none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  目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调整预算数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执行数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为调整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预算数%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为上年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决算数%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410,516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551,359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310,160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56.3%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79.4%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国有土地使用权出让及对应专项债务收入安排的支出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208,783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306,731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188,655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61.5%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98.1%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国有土地收益基金安排的支出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2,058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农业土地开发资金安排的支出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1,109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91.4%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2184.2%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城市基础设施配套费及对应专项债务收入安排的支出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4,146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8,772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8,411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95.9%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183.2%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污水处理费及对应专项债务收入安排的支出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4,531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4,583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4,583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100.0%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113.8%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棚户区改造专项债券收入安排的支出  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189,889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230,594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108,096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46.9%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231,416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437,742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155,578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35.5%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63.9%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其他地方自行试点项目收益专项债券收入安排的支出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226,310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429,544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150,328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35.0%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87.7%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彩票公益金安排的支出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5,106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8,198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5,250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64.0%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债务付息支出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103,426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98,305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74,021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75.3%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124.6%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759,905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1,155,779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554,634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48.0%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86.8%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646" w:type="dxa"/>
            <w:gridSpan w:val="6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备注：1.年初预算数为汇总各级人代会批准的年初预算数。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2.调整预算数为年初预算加中央、省追加，上年结转，政府债务收入等安排的支出。</w:t>
            </w:r>
          </w:p>
        </w:tc>
      </w:tr>
    </w:tbl>
    <w:p>
      <w:pPr>
        <w:rPr>
          <w:rFonts w:hint="default" w:ascii="Times New Roman" w:hAnsi="Times New Roman" w:eastAsia="方正大标宋简体" w:cs="Times New Roman"/>
          <w:color w:val="auto"/>
          <w:spacing w:val="-17"/>
          <w:sz w:val="40"/>
          <w:szCs w:val="40"/>
        </w:rPr>
      </w:pPr>
    </w:p>
    <w:p>
      <w:pPr>
        <w:rPr>
          <w:rFonts w:hint="default" w:ascii="Times New Roman" w:hAnsi="Times New Roman" w:eastAsia="仿宋" w:cs="Times New Roman"/>
          <w:color w:val="auto"/>
          <w:sz w:val="38"/>
          <w:szCs w:val="38"/>
        </w:rPr>
      </w:pPr>
      <w:r>
        <w:rPr>
          <w:rFonts w:hint="default" w:ascii="Times New Roman" w:hAnsi="Times New Roman" w:eastAsia="方正大标宋简体" w:cs="Times New Roman"/>
          <w:color w:val="auto"/>
          <w:spacing w:val="-17"/>
          <w:sz w:val="40"/>
          <w:szCs w:val="40"/>
        </w:rPr>
        <w:t>关于</w:t>
      </w:r>
      <w:r>
        <w:rPr>
          <w:rFonts w:hint="default" w:ascii="Times New Roman" w:hAnsi="Times New Roman" w:eastAsia="方正大标宋简体" w:cs="Times New Roman"/>
          <w:color w:val="auto"/>
          <w:spacing w:val="-17"/>
          <w:sz w:val="40"/>
          <w:szCs w:val="40"/>
          <w:lang w:eastAsia="zh-CN"/>
        </w:rPr>
        <w:t>2023年</w:t>
      </w:r>
      <w:r>
        <w:rPr>
          <w:rFonts w:hint="default" w:ascii="Times New Roman" w:hAnsi="Times New Roman" w:eastAsia="方正大标宋简体" w:cs="Times New Roman"/>
          <w:color w:val="auto"/>
          <w:spacing w:val="-17"/>
          <w:sz w:val="40"/>
          <w:szCs w:val="40"/>
        </w:rPr>
        <w:t>全市政府性基金</w:t>
      </w:r>
      <w:r>
        <w:rPr>
          <w:rFonts w:hint="default" w:ascii="Times New Roman" w:hAnsi="Times New Roman" w:eastAsia="方正大标宋简体" w:cs="Times New Roman"/>
          <w:color w:val="auto"/>
          <w:spacing w:val="-17"/>
          <w:sz w:val="40"/>
          <w:szCs w:val="40"/>
          <w:lang w:eastAsia="zh-CN"/>
        </w:rPr>
        <w:t>预算</w:t>
      </w:r>
      <w:r>
        <w:rPr>
          <w:rFonts w:hint="default" w:ascii="Times New Roman" w:hAnsi="Times New Roman" w:eastAsia="方正大标宋简体" w:cs="Times New Roman"/>
          <w:color w:val="auto"/>
          <w:spacing w:val="-17"/>
          <w:sz w:val="40"/>
          <w:szCs w:val="40"/>
        </w:rPr>
        <w:t>支出执行情况的说明</w:t>
      </w:r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83" w:firstLineChars="200"/>
        <w:textAlignment w:val="auto"/>
        <w:rPr>
          <w:rFonts w:hint="default" w:ascii="Times New Roman" w:hAnsi="Times New Roman" w:eastAsia="仿宋" w:cs="Times New Roman"/>
          <w:b/>
          <w:color w:val="auto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40" w:lineRule="exact"/>
        <w:ind w:firstLine="680" w:firstLineChars="200"/>
        <w:textAlignment w:val="auto"/>
        <w:rPr>
          <w:rFonts w:hint="default" w:ascii="Times New Roman" w:hAnsi="Times New Roman" w:eastAsia="仿宋" w:cs="Times New Roman"/>
          <w:color w:val="auto"/>
          <w:spacing w:val="-6"/>
          <w:sz w:val="34"/>
          <w:szCs w:val="34"/>
        </w:rPr>
      </w:pP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汇总全市各级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eastAsia="zh-CN"/>
        </w:rPr>
        <w:t>人代会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批准的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eastAsia="zh-CN"/>
        </w:rPr>
        <w:t>2023年政府性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基金预算支出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eastAsia="zh-CN"/>
        </w:rPr>
        <w:t>年初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预算数为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759905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万元，调整后全市支出预算数为</w:t>
      </w:r>
      <w:r>
        <w:rPr>
          <w:rFonts w:hint="default" w:ascii="Times New Roman" w:hAnsi="Times New Roman" w:eastAsia="仿宋" w:cs="Times New Roman"/>
          <w:color w:val="auto"/>
          <w:spacing w:val="-6"/>
          <w:sz w:val="34"/>
          <w:szCs w:val="34"/>
          <w:lang w:val="en-US" w:eastAsia="zh-CN"/>
        </w:rPr>
        <w:t>1155779</w:t>
      </w:r>
      <w:r>
        <w:rPr>
          <w:rFonts w:hint="default" w:ascii="Times New Roman" w:hAnsi="Times New Roman" w:eastAsia="仿宋" w:cs="Times New Roman"/>
          <w:color w:val="auto"/>
          <w:spacing w:val="-6"/>
          <w:sz w:val="34"/>
          <w:szCs w:val="34"/>
        </w:rPr>
        <w:t>万元。</w:t>
      </w:r>
      <w:r>
        <w:rPr>
          <w:rFonts w:hint="default" w:ascii="Times New Roman" w:hAnsi="Times New Roman" w:eastAsia="仿宋" w:cs="Times New Roman"/>
          <w:color w:val="auto"/>
          <w:spacing w:val="-6"/>
          <w:sz w:val="34"/>
          <w:szCs w:val="34"/>
          <w:lang w:eastAsia="zh-CN"/>
        </w:rPr>
        <w:t>2023年</w:t>
      </w:r>
      <w:r>
        <w:rPr>
          <w:rFonts w:hint="default" w:ascii="Times New Roman" w:hAnsi="Times New Roman" w:eastAsia="仿宋" w:cs="Times New Roman"/>
          <w:color w:val="auto"/>
          <w:spacing w:val="-6"/>
          <w:sz w:val="34"/>
          <w:szCs w:val="34"/>
        </w:rPr>
        <w:t>全市</w:t>
      </w:r>
      <w:r>
        <w:rPr>
          <w:rFonts w:hint="default" w:ascii="Times New Roman" w:hAnsi="Times New Roman" w:eastAsia="仿宋" w:cs="Times New Roman"/>
          <w:color w:val="auto"/>
          <w:spacing w:val="-6"/>
          <w:sz w:val="34"/>
          <w:szCs w:val="34"/>
          <w:lang w:val="en-US" w:eastAsia="zh-CN"/>
        </w:rPr>
        <w:t>基金</w:t>
      </w:r>
      <w:r>
        <w:rPr>
          <w:rFonts w:hint="default" w:ascii="Times New Roman" w:hAnsi="Times New Roman" w:eastAsia="仿宋" w:cs="Times New Roman"/>
          <w:color w:val="auto"/>
          <w:spacing w:val="-6"/>
          <w:sz w:val="34"/>
          <w:szCs w:val="34"/>
        </w:rPr>
        <w:t>实际支出</w:t>
      </w:r>
      <w:r>
        <w:rPr>
          <w:rFonts w:hint="default" w:ascii="Times New Roman" w:hAnsi="Times New Roman" w:eastAsia="仿宋" w:cs="Times New Roman"/>
          <w:color w:val="auto"/>
          <w:spacing w:val="-6"/>
          <w:sz w:val="34"/>
          <w:szCs w:val="34"/>
          <w:lang w:val="en-US" w:eastAsia="zh-CN"/>
        </w:rPr>
        <w:t>554634</w:t>
      </w:r>
      <w:r>
        <w:rPr>
          <w:rFonts w:hint="default" w:ascii="Times New Roman" w:hAnsi="Times New Roman" w:eastAsia="仿宋" w:cs="Times New Roman"/>
          <w:color w:val="auto"/>
          <w:spacing w:val="-6"/>
          <w:sz w:val="34"/>
          <w:szCs w:val="34"/>
        </w:rPr>
        <w:t>万元，为调整预算数（以下简称预算数）的</w:t>
      </w:r>
      <w:r>
        <w:rPr>
          <w:rFonts w:hint="default" w:ascii="Times New Roman" w:hAnsi="Times New Roman" w:eastAsia="仿宋" w:cs="Times New Roman"/>
          <w:color w:val="auto"/>
          <w:spacing w:val="-6"/>
          <w:sz w:val="34"/>
          <w:szCs w:val="34"/>
          <w:lang w:val="en-US" w:eastAsia="zh-CN"/>
        </w:rPr>
        <w:t>48</w:t>
      </w:r>
      <w:r>
        <w:rPr>
          <w:rFonts w:hint="default" w:ascii="Times New Roman" w:hAnsi="Times New Roman" w:eastAsia="仿宋" w:cs="Times New Roman"/>
          <w:color w:val="auto"/>
          <w:spacing w:val="-6"/>
          <w:sz w:val="34"/>
          <w:szCs w:val="34"/>
        </w:rPr>
        <w:t>%，为上年决算数的</w:t>
      </w:r>
      <w:r>
        <w:rPr>
          <w:rFonts w:hint="default" w:ascii="Times New Roman" w:hAnsi="Times New Roman" w:eastAsia="仿宋" w:cs="Times New Roman"/>
          <w:color w:val="auto"/>
          <w:spacing w:val="-6"/>
          <w:sz w:val="34"/>
          <w:szCs w:val="34"/>
          <w:lang w:val="en-US" w:eastAsia="zh-CN"/>
        </w:rPr>
        <w:t>86.8</w:t>
      </w:r>
      <w:r>
        <w:rPr>
          <w:rFonts w:hint="default" w:ascii="Times New Roman" w:hAnsi="Times New Roman" w:eastAsia="仿宋" w:cs="Times New Roman"/>
          <w:color w:val="auto"/>
          <w:spacing w:val="-6"/>
          <w:sz w:val="34"/>
          <w:szCs w:val="3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40" w:lineRule="exact"/>
        <w:ind w:firstLine="724" w:firstLineChars="200"/>
        <w:textAlignment w:val="auto"/>
        <w:rPr>
          <w:rFonts w:hint="default" w:ascii="Times New Roman" w:hAnsi="Times New Roman" w:eastAsia="仿宋" w:cs="Times New Roman"/>
          <w:color w:val="auto"/>
          <w:spacing w:val="11"/>
          <w:sz w:val="34"/>
          <w:szCs w:val="34"/>
        </w:rPr>
      </w:pPr>
      <w:r>
        <w:rPr>
          <w:rFonts w:hint="default" w:ascii="Times New Roman" w:hAnsi="Times New Roman" w:eastAsia="仿宋" w:cs="Times New Roman"/>
          <w:color w:val="auto"/>
          <w:spacing w:val="11"/>
          <w:sz w:val="34"/>
          <w:szCs w:val="34"/>
          <w:lang w:val="en-US" w:eastAsia="zh-CN"/>
        </w:rPr>
        <w:t>2023年全市政府性基金预算</w:t>
      </w:r>
      <w:r>
        <w:rPr>
          <w:rFonts w:hint="default" w:ascii="Times New Roman" w:hAnsi="Times New Roman" w:eastAsia="仿宋" w:cs="Times New Roman"/>
          <w:color w:val="auto"/>
          <w:spacing w:val="11"/>
          <w:sz w:val="34"/>
          <w:szCs w:val="34"/>
        </w:rPr>
        <w:t>支出主要项目执行情况是：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40" w:lineRule="exact"/>
        <w:ind w:firstLine="680" w:firstLineChars="200"/>
        <w:textAlignment w:val="auto"/>
        <w:rPr>
          <w:rFonts w:hint="default" w:ascii="Times New Roman" w:hAnsi="Times New Roman" w:eastAsia="仿宋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、国有土地使用权出让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eastAsia="zh-CN"/>
        </w:rPr>
        <w:t>收入及对应专项债务安排的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支出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eastAsia="zh-CN"/>
        </w:rPr>
        <w:t>完成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188655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万元，为预算数的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61.5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%，为上年决算数的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98.1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bidi w:val="0"/>
        <w:spacing w:line="640" w:lineRule="exact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2、农业土地开发资金安排的支出完成415万元，为预算数的91.4%。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40" w:lineRule="exact"/>
        <w:ind w:firstLine="680" w:firstLineChars="200"/>
        <w:textAlignment w:val="auto"/>
        <w:rPr>
          <w:rFonts w:hint="default" w:ascii="Times New Roman" w:hAnsi="Times New Roman" w:eastAsia="仿宋" w:cs="Times New Roman"/>
          <w:color w:val="auto"/>
          <w:spacing w:val="-6"/>
          <w:sz w:val="34"/>
          <w:szCs w:val="34"/>
        </w:rPr>
      </w:pP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、城市</w:t>
      </w:r>
      <w:r>
        <w:rPr>
          <w:rFonts w:hint="default" w:ascii="Times New Roman" w:hAnsi="Times New Roman" w:eastAsia="仿宋" w:cs="Times New Roman"/>
          <w:color w:val="auto"/>
          <w:spacing w:val="-6"/>
          <w:sz w:val="34"/>
          <w:szCs w:val="34"/>
        </w:rPr>
        <w:t>基础设施配套费</w:t>
      </w:r>
      <w:r>
        <w:rPr>
          <w:rFonts w:hint="default" w:ascii="Times New Roman" w:hAnsi="Times New Roman" w:eastAsia="仿宋" w:cs="Times New Roman"/>
          <w:color w:val="auto"/>
          <w:spacing w:val="-6"/>
          <w:sz w:val="34"/>
          <w:szCs w:val="34"/>
          <w:lang w:eastAsia="zh-CN"/>
        </w:rPr>
        <w:t>及对应专项债务收入</w:t>
      </w:r>
      <w:r>
        <w:rPr>
          <w:rFonts w:hint="default" w:ascii="Times New Roman" w:hAnsi="Times New Roman" w:eastAsia="仿宋" w:cs="Times New Roman"/>
          <w:color w:val="auto"/>
          <w:spacing w:val="-6"/>
          <w:sz w:val="34"/>
          <w:szCs w:val="34"/>
        </w:rPr>
        <w:t>安排的支出</w:t>
      </w:r>
      <w:r>
        <w:rPr>
          <w:rFonts w:hint="default" w:ascii="Times New Roman" w:hAnsi="Times New Roman" w:eastAsia="仿宋" w:cs="Times New Roman"/>
          <w:color w:val="auto"/>
          <w:spacing w:val="-6"/>
          <w:sz w:val="34"/>
          <w:szCs w:val="34"/>
          <w:lang w:eastAsia="zh-CN"/>
        </w:rPr>
        <w:t>完成</w:t>
      </w:r>
      <w:r>
        <w:rPr>
          <w:rFonts w:hint="default" w:ascii="Times New Roman" w:hAnsi="Times New Roman" w:eastAsia="仿宋" w:cs="Times New Roman"/>
          <w:color w:val="auto"/>
          <w:spacing w:val="-6"/>
          <w:sz w:val="34"/>
          <w:szCs w:val="34"/>
          <w:lang w:val="en-US" w:eastAsia="zh-CN"/>
        </w:rPr>
        <w:t>8411</w:t>
      </w:r>
      <w:r>
        <w:rPr>
          <w:rFonts w:hint="default" w:ascii="Times New Roman" w:hAnsi="Times New Roman" w:eastAsia="仿宋" w:cs="Times New Roman"/>
          <w:color w:val="auto"/>
          <w:spacing w:val="-6"/>
          <w:sz w:val="34"/>
          <w:szCs w:val="34"/>
        </w:rPr>
        <w:t>万元，为预算数的</w:t>
      </w:r>
      <w:r>
        <w:rPr>
          <w:rFonts w:hint="default" w:ascii="Times New Roman" w:hAnsi="Times New Roman" w:eastAsia="仿宋" w:cs="Times New Roman"/>
          <w:color w:val="auto"/>
          <w:spacing w:val="-6"/>
          <w:sz w:val="34"/>
          <w:szCs w:val="34"/>
          <w:lang w:val="en-US" w:eastAsia="zh-CN"/>
        </w:rPr>
        <w:t>95.9</w:t>
      </w:r>
      <w:r>
        <w:rPr>
          <w:rFonts w:hint="default" w:ascii="Times New Roman" w:hAnsi="Times New Roman" w:eastAsia="仿宋" w:cs="Times New Roman"/>
          <w:color w:val="auto"/>
          <w:spacing w:val="-6"/>
          <w:sz w:val="34"/>
          <w:szCs w:val="34"/>
        </w:rPr>
        <w:t>%，为上年决算数的</w:t>
      </w:r>
      <w:r>
        <w:rPr>
          <w:rFonts w:hint="default" w:ascii="Times New Roman" w:hAnsi="Times New Roman" w:eastAsia="仿宋" w:cs="Times New Roman"/>
          <w:color w:val="auto"/>
          <w:spacing w:val="-6"/>
          <w:sz w:val="34"/>
          <w:szCs w:val="34"/>
          <w:lang w:val="en-US" w:eastAsia="zh-CN"/>
        </w:rPr>
        <w:t>183.2</w:t>
      </w:r>
      <w:r>
        <w:rPr>
          <w:rFonts w:hint="default" w:ascii="Times New Roman" w:hAnsi="Times New Roman" w:eastAsia="仿宋" w:cs="Times New Roman"/>
          <w:color w:val="auto"/>
          <w:spacing w:val="-6"/>
          <w:sz w:val="34"/>
          <w:szCs w:val="3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680" w:firstLineChars="200"/>
        <w:textAlignment w:val="auto"/>
        <w:rPr>
          <w:rFonts w:hint="default" w:ascii="Times New Roman" w:hAnsi="Times New Roman" w:eastAsia="仿宋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、污水处理费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eastAsia="zh-CN"/>
        </w:rPr>
        <w:t>及对应专项债务收入安排的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支出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eastAsia="zh-CN"/>
        </w:rPr>
        <w:t>完成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4583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万元，为预算数的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100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%，为上年决算数的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113.8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680" w:firstLineChars="200"/>
        <w:textAlignment w:val="auto"/>
        <w:rPr>
          <w:rFonts w:hint="default" w:ascii="Times New Roman" w:hAnsi="Times New Roman" w:eastAsia="仿宋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、棚户区改造专项债券收入安排的支出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eastAsia="zh-CN"/>
        </w:rPr>
        <w:t>完成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108096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万元，为预算数的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46.9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eastAsia="zh-CN"/>
        </w:rPr>
        <w:t>，为上年决算数的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57%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680" w:firstLineChars="200"/>
        <w:textAlignment w:val="auto"/>
        <w:rPr>
          <w:rFonts w:hint="default" w:ascii="Times New Roman" w:hAnsi="Times New Roman" w:eastAsia="仿宋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、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eastAsia="zh-CN"/>
        </w:rPr>
        <w:t>其他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地方自行试点项目收益专项债券收入安排的支出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eastAsia="zh-CN"/>
        </w:rPr>
        <w:t>完成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150328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万元，为预算数的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35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%，为上年决算数的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87.7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680" w:firstLineChars="200"/>
        <w:textAlignment w:val="auto"/>
        <w:rPr>
          <w:rFonts w:hint="default" w:ascii="Times New Roman" w:hAnsi="Times New Roman" w:eastAsia="方正大标宋简体" w:cs="Times New Roman"/>
          <w:color w:val="auto"/>
          <w:spacing w:val="-11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、彩票公益金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eastAsia="zh-CN"/>
        </w:rPr>
        <w:t>安排的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支出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eastAsia="zh-CN"/>
        </w:rPr>
        <w:t>完成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5250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万元，为预算数的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64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%，为上年决算数的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144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%。</w:t>
      </w:r>
      <w:bookmarkStart w:id="6" w:name="_Toc446057900"/>
      <w:r>
        <w:rPr>
          <w:rFonts w:hint="default" w:ascii="Times New Roman" w:hAnsi="Times New Roman" w:eastAsia="方正大标宋简体" w:cs="Times New Roman"/>
          <w:color w:val="auto"/>
          <w:spacing w:val="-11"/>
          <w:sz w:val="36"/>
          <w:szCs w:val="36"/>
        </w:rPr>
        <w:br w:type="page"/>
      </w:r>
    </w:p>
    <w:tbl>
      <w:tblPr>
        <w:tblStyle w:val="10"/>
        <w:tblW w:w="86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31"/>
        <w:gridCol w:w="1593"/>
        <w:gridCol w:w="1306"/>
        <w:gridCol w:w="1349"/>
        <w:gridCol w:w="13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648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2023年市级政府性基金预算收入执行情况表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03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36"/>
                <w:szCs w:val="36"/>
                <w:u w:val="none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36"/>
                <w:szCs w:val="36"/>
                <w:u w:val="none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36"/>
                <w:szCs w:val="36"/>
                <w:u w:val="none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36"/>
                <w:szCs w:val="36"/>
                <w:u w:val="none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  目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执行数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为预算数%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为上年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决算数%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国有土地收益基金收入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3,500 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1,270 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36.3%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27.2%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农业土地开发资金收入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1,000 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728 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72.8%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43.8%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国有土地使用权出让收入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170,000 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74,965 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44.1%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37.5%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城市基础设施配套费收入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2,000 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3,099 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155.0%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136.6%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污水处理费收入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3,500 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3,476 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99.3%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专项债务对应项目专项收入</w:t>
            </w:r>
          </w:p>
        </w:tc>
        <w:tc>
          <w:tcPr>
            <w:tcW w:w="15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580 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180,000 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84,118 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46.7%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39.7%</w:t>
            </w:r>
          </w:p>
        </w:tc>
      </w:tr>
    </w:tbl>
    <w:p>
      <w:pPr>
        <w:rPr>
          <w:rFonts w:hint="default" w:ascii="Times New Roman" w:hAnsi="Times New Roman" w:eastAsia="方正大标宋简体" w:cs="Times New Roman"/>
          <w:color w:val="auto"/>
          <w:spacing w:val="-11"/>
          <w:sz w:val="36"/>
          <w:szCs w:val="36"/>
        </w:rPr>
      </w:pPr>
      <w:r>
        <w:rPr>
          <w:rFonts w:hint="default" w:ascii="Times New Roman" w:hAnsi="Times New Roman" w:eastAsia="宋体" w:cs="Times New Roman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备注：年初预算数为汇总各级人代会批准的年初预算数。</w:t>
      </w:r>
      <w:r>
        <w:rPr>
          <w:rFonts w:hint="default" w:ascii="Times New Roman" w:hAnsi="Times New Roman" w:eastAsia="方正大标宋简体" w:cs="Times New Roman"/>
          <w:color w:val="auto"/>
          <w:spacing w:val="-11"/>
          <w:sz w:val="36"/>
          <w:szCs w:val="36"/>
        </w:rPr>
        <w:br w:type="page"/>
      </w:r>
    </w:p>
    <w:p>
      <w:pPr>
        <w:jc w:val="center"/>
        <w:rPr>
          <w:rFonts w:hint="default" w:ascii="Times New Roman" w:hAnsi="Times New Roman" w:cs="Times New Roman"/>
          <w:color w:val="auto"/>
          <w:spacing w:val="-17"/>
          <w:sz w:val="40"/>
          <w:szCs w:val="40"/>
        </w:rPr>
      </w:pPr>
      <w:r>
        <w:rPr>
          <w:rFonts w:hint="default" w:ascii="Times New Roman" w:hAnsi="Times New Roman" w:eastAsia="方正大标宋简体" w:cs="Times New Roman"/>
          <w:color w:val="auto"/>
          <w:spacing w:val="-17"/>
          <w:sz w:val="40"/>
          <w:szCs w:val="40"/>
        </w:rPr>
        <w:t>关于</w:t>
      </w:r>
      <w:r>
        <w:rPr>
          <w:rFonts w:hint="default" w:ascii="Times New Roman" w:hAnsi="Times New Roman" w:eastAsia="方正大标宋简体" w:cs="Times New Roman"/>
          <w:color w:val="auto"/>
          <w:spacing w:val="-17"/>
          <w:sz w:val="40"/>
          <w:szCs w:val="40"/>
          <w:lang w:eastAsia="zh-CN"/>
        </w:rPr>
        <w:t>2023年</w:t>
      </w:r>
      <w:r>
        <w:rPr>
          <w:rFonts w:hint="default" w:ascii="Times New Roman" w:hAnsi="Times New Roman" w:eastAsia="方正大标宋简体" w:cs="Times New Roman"/>
          <w:color w:val="auto"/>
          <w:spacing w:val="-17"/>
          <w:sz w:val="40"/>
          <w:szCs w:val="40"/>
        </w:rPr>
        <w:t>市级政府性基金</w:t>
      </w:r>
      <w:r>
        <w:rPr>
          <w:rFonts w:hint="default" w:ascii="Times New Roman" w:hAnsi="Times New Roman" w:eastAsia="方正大标宋简体" w:cs="Times New Roman"/>
          <w:color w:val="auto"/>
          <w:spacing w:val="-17"/>
          <w:sz w:val="40"/>
          <w:szCs w:val="40"/>
          <w:lang w:eastAsia="zh-CN"/>
        </w:rPr>
        <w:t>预算</w:t>
      </w:r>
      <w:r>
        <w:rPr>
          <w:rFonts w:hint="default" w:ascii="Times New Roman" w:hAnsi="Times New Roman" w:eastAsia="方正大标宋简体" w:cs="Times New Roman"/>
          <w:color w:val="auto"/>
          <w:spacing w:val="-17"/>
          <w:sz w:val="40"/>
          <w:szCs w:val="40"/>
        </w:rPr>
        <w:t>收入执行情况的说明</w:t>
      </w:r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2023年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市级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政府性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基金预算收入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年初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预算数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以下简称预算数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为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180000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万元,实际完成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84118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万元，为预算数的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46.7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%，为上年决算数的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39.7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%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724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11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pacing w:val="11"/>
          <w:sz w:val="34"/>
          <w:szCs w:val="34"/>
          <w:lang w:val="en-US" w:eastAsia="zh-CN"/>
        </w:rPr>
        <w:t>2023年市级政府性基金预算</w:t>
      </w:r>
      <w:r>
        <w:rPr>
          <w:rFonts w:hint="default" w:ascii="Times New Roman" w:hAnsi="Times New Roman" w:eastAsia="仿宋_GB2312" w:cs="Times New Roman"/>
          <w:color w:val="auto"/>
          <w:spacing w:val="11"/>
          <w:sz w:val="34"/>
          <w:szCs w:val="34"/>
          <w:lang w:eastAsia="zh-CN"/>
        </w:rPr>
        <w:t>收入</w:t>
      </w:r>
      <w:r>
        <w:rPr>
          <w:rFonts w:hint="default" w:ascii="Times New Roman" w:hAnsi="Times New Roman" w:eastAsia="仿宋_GB2312" w:cs="Times New Roman"/>
          <w:color w:val="auto"/>
          <w:spacing w:val="11"/>
          <w:sz w:val="34"/>
          <w:szCs w:val="34"/>
        </w:rPr>
        <w:t>主要项目</w:t>
      </w:r>
      <w:r>
        <w:rPr>
          <w:rFonts w:hint="default" w:ascii="Times New Roman" w:hAnsi="Times New Roman" w:eastAsia="仿宋_GB2312" w:cs="Times New Roman"/>
          <w:color w:val="auto"/>
          <w:spacing w:val="11"/>
          <w:sz w:val="34"/>
          <w:szCs w:val="34"/>
          <w:lang w:eastAsia="zh-CN"/>
        </w:rPr>
        <w:t>执行</w:t>
      </w:r>
      <w:r>
        <w:rPr>
          <w:rFonts w:hint="default" w:ascii="Times New Roman" w:hAnsi="Times New Roman" w:eastAsia="仿宋_GB2312" w:cs="Times New Roman"/>
          <w:color w:val="auto"/>
          <w:spacing w:val="11"/>
          <w:sz w:val="34"/>
          <w:szCs w:val="34"/>
        </w:rPr>
        <w:t>情况</w:t>
      </w:r>
      <w:r>
        <w:rPr>
          <w:rFonts w:hint="default" w:ascii="Times New Roman" w:hAnsi="Times New Roman" w:eastAsia="仿宋_GB2312" w:cs="Times New Roman"/>
          <w:color w:val="auto"/>
          <w:spacing w:val="11"/>
          <w:sz w:val="34"/>
          <w:szCs w:val="34"/>
          <w:lang w:eastAsia="zh-CN"/>
        </w:rPr>
        <w:t>是</w:t>
      </w:r>
      <w:r>
        <w:rPr>
          <w:rFonts w:hint="default" w:ascii="Times New Roman" w:hAnsi="Times New Roman" w:eastAsia="仿宋_GB2312" w:cs="Times New Roman"/>
          <w:color w:val="auto"/>
          <w:spacing w:val="11"/>
          <w:sz w:val="34"/>
          <w:szCs w:val="34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国有土地收益基金收入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完成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1270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万元，为预算数的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36.3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%，为上年决算数的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27.2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、农业土地开发资金收入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完成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728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万元，为预算数的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72.8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%，为上年决算数的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43.8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bookmarkStart w:id="7" w:name="_Toc446057902"/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、国有土地使用权出让收入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完成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74965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万元，为预算数的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44.1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%，为上年决算数的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37.5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、城市基础设施配套费收入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完成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3099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万元，为预算数的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155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%，为上年决算数的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136.6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、污水处理费收入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完成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3476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万元，为预算数的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99.3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%，为上年决算数的1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04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%。</w:t>
      </w:r>
    </w:p>
    <w:p>
      <w:pPr>
        <w:pStyle w:val="3"/>
        <w:spacing w:after="156"/>
        <w:rPr>
          <w:rFonts w:hint="default" w:ascii="Times New Roman" w:hAnsi="Times New Roman" w:eastAsia="仿宋" w:cs="Times New Roman"/>
          <w:color w:val="auto"/>
          <w:spacing w:val="-20"/>
          <w:sz w:val="40"/>
          <w:szCs w:val="4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color w:val="auto"/>
          <w:spacing w:val="-11"/>
          <w:sz w:val="36"/>
          <w:szCs w:val="36"/>
          <w:lang w:val="en-US" w:eastAsia="zh-CN"/>
        </w:rPr>
      </w:pPr>
    </w:p>
    <w:p>
      <w:pPr>
        <w:rPr>
          <w:rFonts w:hint="default" w:ascii="Times New Roman" w:hAnsi="Times New Roman" w:eastAsia="黑体" w:cs="Times New Roman"/>
          <w:color w:val="auto"/>
          <w:spacing w:val="-11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-11"/>
          <w:sz w:val="36"/>
          <w:szCs w:val="36"/>
          <w:lang w:val="en-US" w:eastAsia="zh-CN"/>
        </w:rPr>
        <w:br w:type="page"/>
      </w:r>
    </w:p>
    <w:tbl>
      <w:tblPr>
        <w:tblStyle w:val="10"/>
        <w:tblW w:w="89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24"/>
        <w:gridCol w:w="1358"/>
        <w:gridCol w:w="1249"/>
        <w:gridCol w:w="900"/>
        <w:gridCol w:w="975"/>
        <w:gridCol w:w="10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994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2023年市级政府性基金预算支出执行情况表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2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36"/>
                <w:szCs w:val="36"/>
                <w:u w:val="none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36"/>
                <w:szCs w:val="36"/>
                <w:u w:val="none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36"/>
                <w:szCs w:val="36"/>
                <w:u w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36"/>
                <w:szCs w:val="36"/>
                <w:u w:val="none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36"/>
                <w:szCs w:val="36"/>
                <w:u w:val="none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  目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调整预算数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执行数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为调整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预算数%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为上年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决算数%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6" w:hRule="atLeast"/>
        </w:trPr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70,000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20,856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13,087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62.7%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134.1%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6" w:hRule="atLeast"/>
        </w:trPr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国有土地使用权出让收入安排的支出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70,000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17,776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11,095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62.4%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157.7%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6" w:hRule="atLeast"/>
        </w:trPr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农业土地开发资金安排的支出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6" w:hRule="atLeast"/>
        </w:trPr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城市基础设施配套费及专项债务收入安排的支出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3,000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,912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97.1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167.6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6" w:hRule="atLeast"/>
        </w:trPr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污水处理费及专项债务收入安排的支出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100.0%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6" w:hRule="atLeast"/>
        </w:trPr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2,234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121,039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27,532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22.7%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89.8%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6" w:hRule="atLeast"/>
        </w:trPr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其他地方自行试点项目收益专项债券收入安排的支出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118,805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26,047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21.9%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85.8%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6" w:hRule="atLeast"/>
        </w:trPr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彩票公益金安排的支出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2234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2,234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1,485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66.5%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6" w:hRule="atLeast"/>
        </w:trPr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债务付息支出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12,593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12,735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12,735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100.0%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81.2%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6" w:hRule="atLeast"/>
        </w:trPr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84,827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156,785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54,357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34.7%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96.9%</w:t>
            </w:r>
          </w:p>
        </w:tc>
      </w:tr>
    </w:tbl>
    <w:p>
      <w:pPr>
        <w:jc w:val="left"/>
        <w:rPr>
          <w:rFonts w:hint="default" w:ascii="Times New Roman" w:hAnsi="Times New Roman" w:eastAsia="方正大标宋简体" w:cs="Times New Roman"/>
          <w:color w:val="auto"/>
          <w:spacing w:val="-17"/>
          <w:sz w:val="40"/>
          <w:szCs w:val="40"/>
        </w:rPr>
      </w:pPr>
      <w:r>
        <w:rPr>
          <w:rFonts w:hint="default" w:ascii="Times New Roman" w:hAnsi="Times New Roman" w:eastAsia="宋体" w:cs="Times New Roman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备注：1.年初预算数为汇总各级人代会批准的年初预算数。</w:t>
      </w:r>
      <w:r>
        <w:rPr>
          <w:rFonts w:hint="default" w:ascii="Times New Roman" w:hAnsi="Times New Roman" w:eastAsia="宋体" w:cs="Times New Roman"/>
          <w:i w:val="0"/>
          <w:color w:val="auto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default" w:ascii="Times New Roman" w:hAnsi="Times New Roman" w:eastAsia="宋体" w:cs="Times New Roman"/>
          <w:i w:val="0"/>
          <w:color w:val="auto"/>
          <w:kern w:val="0"/>
          <w:sz w:val="24"/>
          <w:szCs w:val="24"/>
          <w:u w:val="none"/>
          <w:lang w:val="en-US" w:eastAsia="zh-CN" w:bidi="ar"/>
        </w:rPr>
        <w:t xml:space="preserve">      2.调整预算数为年初预算加中央、省追加，上年结转，政府债务收入等安排</w:t>
      </w:r>
      <w:r>
        <w:rPr>
          <w:rFonts w:hint="default" w:ascii="Times New Roman" w:hAnsi="Times New Roman" w:cs="Times New Roman"/>
          <w:i w:val="0"/>
          <w:color w:val="auto"/>
          <w:kern w:val="0"/>
          <w:sz w:val="24"/>
          <w:szCs w:val="24"/>
          <w:u w:val="none"/>
          <w:lang w:val="en-US" w:eastAsia="zh-CN" w:bidi="ar"/>
        </w:rPr>
        <w:t xml:space="preserve">     </w:t>
      </w:r>
      <w:r>
        <w:rPr>
          <w:rFonts w:hint="default" w:ascii="Times New Roman" w:hAnsi="Times New Roman" w:eastAsia="宋体" w:cs="Times New Roman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的支出。</w:t>
      </w:r>
    </w:p>
    <w:p>
      <w:pPr>
        <w:rPr>
          <w:rFonts w:hint="default" w:ascii="Times New Roman" w:hAnsi="Times New Roman" w:eastAsia="方正大标宋简体" w:cs="Times New Roman"/>
          <w:color w:val="auto"/>
          <w:spacing w:val="-17"/>
          <w:sz w:val="40"/>
          <w:szCs w:val="40"/>
        </w:rPr>
      </w:pPr>
      <w:r>
        <w:rPr>
          <w:rFonts w:hint="default" w:ascii="Times New Roman" w:hAnsi="Times New Roman" w:eastAsia="方正大标宋简体" w:cs="Times New Roman"/>
          <w:color w:val="auto"/>
          <w:spacing w:val="-17"/>
          <w:sz w:val="40"/>
          <w:szCs w:val="40"/>
        </w:rPr>
        <w:br w:type="page"/>
      </w:r>
    </w:p>
    <w:p>
      <w:pPr>
        <w:rPr>
          <w:rFonts w:hint="default" w:ascii="Times New Roman" w:hAnsi="Times New Roman" w:cs="Times New Roman"/>
          <w:color w:val="auto"/>
          <w:spacing w:val="-17"/>
          <w:sz w:val="40"/>
          <w:szCs w:val="40"/>
        </w:rPr>
      </w:pPr>
      <w:r>
        <w:rPr>
          <w:rFonts w:hint="default" w:ascii="Times New Roman" w:hAnsi="Times New Roman" w:eastAsia="方正大标宋简体" w:cs="Times New Roman"/>
          <w:color w:val="auto"/>
          <w:spacing w:val="-17"/>
          <w:sz w:val="40"/>
          <w:szCs w:val="40"/>
        </w:rPr>
        <w:t>关于</w:t>
      </w:r>
      <w:r>
        <w:rPr>
          <w:rFonts w:hint="default" w:ascii="Times New Roman" w:hAnsi="Times New Roman" w:eastAsia="方正大标宋简体" w:cs="Times New Roman"/>
          <w:color w:val="auto"/>
          <w:spacing w:val="-17"/>
          <w:sz w:val="40"/>
          <w:szCs w:val="40"/>
          <w:lang w:eastAsia="zh-CN"/>
        </w:rPr>
        <w:t>2023年</w:t>
      </w:r>
      <w:r>
        <w:rPr>
          <w:rFonts w:hint="default" w:ascii="Times New Roman" w:hAnsi="Times New Roman" w:eastAsia="方正大标宋简体" w:cs="Times New Roman"/>
          <w:color w:val="auto"/>
          <w:spacing w:val="-17"/>
          <w:sz w:val="40"/>
          <w:szCs w:val="40"/>
        </w:rPr>
        <w:t>市级政府性基金</w:t>
      </w:r>
      <w:r>
        <w:rPr>
          <w:rFonts w:hint="default" w:ascii="Times New Roman" w:hAnsi="Times New Roman" w:eastAsia="方正大标宋简体" w:cs="Times New Roman"/>
          <w:color w:val="auto"/>
          <w:spacing w:val="-17"/>
          <w:sz w:val="40"/>
          <w:szCs w:val="40"/>
          <w:lang w:eastAsia="zh-CN"/>
        </w:rPr>
        <w:t>预算</w:t>
      </w:r>
      <w:r>
        <w:rPr>
          <w:rFonts w:hint="default" w:ascii="Times New Roman" w:hAnsi="Times New Roman" w:eastAsia="方正大标宋简体" w:cs="Times New Roman"/>
          <w:color w:val="auto"/>
          <w:spacing w:val="-17"/>
          <w:sz w:val="40"/>
          <w:szCs w:val="40"/>
        </w:rPr>
        <w:t>支出执行情况的说明</w:t>
      </w:r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680" w:firstLineChars="200"/>
        <w:textAlignment w:val="auto"/>
        <w:rPr>
          <w:rFonts w:hint="default" w:ascii="Times New Roman" w:hAnsi="Times New Roman" w:eastAsia="仿宋" w:cs="Times New Roman"/>
          <w:color w:val="auto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680" w:firstLineChars="200"/>
        <w:textAlignment w:val="auto"/>
        <w:rPr>
          <w:rFonts w:hint="default" w:ascii="Times New Roman" w:hAnsi="Times New Roman" w:eastAsia="仿宋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" w:cs="Times New Roman"/>
          <w:color w:val="auto"/>
          <w:sz w:val="34"/>
          <w:szCs w:val="34"/>
          <w:lang w:eastAsia="zh-CN"/>
        </w:rPr>
        <w:t>2023年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市级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eastAsia="zh-CN"/>
        </w:rPr>
        <w:t>政府性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基金预算支出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eastAsia="zh-CN"/>
        </w:rPr>
        <w:t>年初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预算数为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84827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万元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调整后市级支出预算数为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156785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万元。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2023年市级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实际完成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54357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万元，为调整预算数（以下简称预算数）的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34.7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%，为上年决算数的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96.9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724" w:firstLineChars="200"/>
        <w:textAlignment w:val="auto"/>
        <w:rPr>
          <w:rFonts w:hint="default" w:ascii="Times New Roman" w:hAnsi="Times New Roman" w:eastAsia="仿宋" w:cs="Times New Roman"/>
          <w:color w:val="auto"/>
          <w:spacing w:val="11"/>
          <w:sz w:val="34"/>
          <w:szCs w:val="34"/>
        </w:rPr>
      </w:pPr>
      <w:r>
        <w:rPr>
          <w:rFonts w:hint="default" w:ascii="Times New Roman" w:hAnsi="Times New Roman" w:eastAsia="仿宋" w:cs="Times New Roman"/>
          <w:color w:val="auto"/>
          <w:spacing w:val="11"/>
          <w:sz w:val="34"/>
          <w:szCs w:val="34"/>
          <w:lang w:val="en-US" w:eastAsia="zh-CN"/>
        </w:rPr>
        <w:t>2023年市级政府性基金预算</w:t>
      </w:r>
      <w:r>
        <w:rPr>
          <w:rFonts w:hint="default" w:ascii="Times New Roman" w:hAnsi="Times New Roman" w:eastAsia="仿宋" w:cs="Times New Roman"/>
          <w:color w:val="auto"/>
          <w:spacing w:val="11"/>
          <w:sz w:val="34"/>
          <w:szCs w:val="34"/>
        </w:rPr>
        <w:t>支出主要项目执行情况</w:t>
      </w:r>
      <w:r>
        <w:rPr>
          <w:rFonts w:hint="default" w:ascii="Times New Roman" w:hAnsi="Times New Roman" w:eastAsia="仿宋" w:cs="Times New Roman"/>
          <w:color w:val="auto"/>
          <w:spacing w:val="11"/>
          <w:sz w:val="34"/>
          <w:szCs w:val="34"/>
          <w:lang w:eastAsia="zh-CN"/>
        </w:rPr>
        <w:t>是</w:t>
      </w:r>
      <w:r>
        <w:rPr>
          <w:rFonts w:hint="default" w:ascii="Times New Roman" w:hAnsi="Times New Roman" w:eastAsia="仿宋" w:cs="Times New Roman"/>
          <w:color w:val="auto"/>
          <w:spacing w:val="11"/>
          <w:sz w:val="34"/>
          <w:szCs w:val="34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80" w:firstLineChars="200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1、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国有土地使用权出让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及专项债务收入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eastAsia="zh-CN"/>
        </w:rPr>
        <w:t>安排的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支出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eastAsia="zh-CN"/>
        </w:rPr>
        <w:t>完成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11095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万元，为预算数的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62.4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%，为上年决算数的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157.7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80" w:firstLineChars="200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、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eastAsia="zh-CN"/>
        </w:rPr>
        <w:t>城市基础设施配套费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及专项债务收入安排的支出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eastAsia="zh-CN"/>
        </w:rPr>
        <w:t>完成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2912万元，为预算数的97.1%，为上年决算数的167.6%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80" w:firstLineChars="200"/>
        <w:textAlignment w:val="auto"/>
        <w:rPr>
          <w:rFonts w:hint="default" w:ascii="Times New Roman" w:hAnsi="Times New Roman" w:eastAsia="仿宋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、污水处理费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及专项债务收入安排的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支出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eastAsia="zh-CN"/>
        </w:rPr>
        <w:t>完成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65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万元，为预算数的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100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%，为上年决算数的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6.6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80" w:firstLineChars="200"/>
        <w:textAlignment w:val="auto"/>
        <w:rPr>
          <w:rFonts w:hint="default" w:ascii="Times New Roman" w:hAnsi="Times New Roman" w:eastAsia="仿宋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、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eastAsia="zh-CN"/>
        </w:rPr>
        <w:t>其他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地方自行试点项目收益专项债券收入安排的支出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eastAsia="zh-CN"/>
        </w:rPr>
        <w:t>完成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26047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万元，为预算数的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21.9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%，为上年决算数的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85.8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</w:t>
      </w:r>
      <w:r>
        <w:rPr>
          <w:rFonts w:hint="eastAsia" w:eastAsia="仿宋" w:cs="Times New Roman"/>
          <w:color w:val="auto"/>
          <w:sz w:val="34"/>
          <w:szCs w:val="34"/>
          <w:lang w:eastAsia="zh-CN"/>
        </w:rPr>
        <w:t>，</w:t>
      </w:r>
      <w:r>
        <w:rPr>
          <w:rFonts w:hint="eastAsia" w:eastAsia="仿宋" w:cs="Times New Roman"/>
          <w:color w:val="auto"/>
          <w:sz w:val="34"/>
          <w:szCs w:val="34"/>
          <w:highlight w:val="none"/>
          <w:lang w:val="en-US" w:eastAsia="zh-CN"/>
        </w:rPr>
        <w:t>主要是专项债项目进度较慢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80" w:firstLineChars="200"/>
        <w:textAlignment w:val="auto"/>
        <w:rPr>
          <w:rFonts w:hint="default" w:ascii="Times New Roman" w:hAnsi="Times New Roman" w:eastAsia="仿宋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、彩票公益金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eastAsia="zh-CN"/>
        </w:rPr>
        <w:t>安排的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支出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eastAsia="zh-CN"/>
        </w:rPr>
        <w:t>完成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1485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万元，为预算数的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66.5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%，为上年决算数的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500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</w:rPr>
        <w:t>%。</w:t>
      </w:r>
    </w:p>
    <w:p>
      <w:pPr>
        <w:pStyle w:val="12"/>
        <w:rPr>
          <w:rFonts w:hint="default" w:ascii="Times New Roman" w:hAnsi="Times New Roman" w:eastAsia="黑体" w:cs="Times New Roman"/>
          <w:color w:val="auto"/>
          <w:spacing w:val="-11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  <w:t>6、债务付息支出完成12735万元，为预算数的100%，为上年决算数的81.2%。</w:t>
      </w:r>
      <w:r>
        <w:rPr>
          <w:rFonts w:hint="default" w:ascii="Times New Roman" w:hAnsi="Times New Roman" w:eastAsia="黑体" w:cs="Times New Roman"/>
          <w:color w:val="auto"/>
          <w:spacing w:val="-11"/>
          <w:sz w:val="36"/>
          <w:szCs w:val="36"/>
          <w:lang w:val="en-US" w:eastAsia="zh-CN"/>
        </w:rPr>
        <w:br w:type="page"/>
      </w:r>
    </w:p>
    <w:tbl>
      <w:tblPr>
        <w:tblStyle w:val="10"/>
        <w:tblW w:w="86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68"/>
        <w:gridCol w:w="1288"/>
        <w:gridCol w:w="3175"/>
        <w:gridCol w:w="14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646" w:type="dxa"/>
            <w:gridSpan w:val="4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2023年全市国有资本经营预算收支执行情况总表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646" w:type="dxa"/>
            <w:gridSpan w:val="4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单位:万元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</w:trPr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收入执行数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支出执行数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</w:trPr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利润收入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35,359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解决历史遗留问题及改革成本支出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</w:trPr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股利、股息收入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国有企业资本金注入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1,448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</w:trPr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产权转让收入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13,951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国有企业政策性补贴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</w:trPr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清算收入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1,996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金融国有资本经营预算支出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</w:trPr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其他国有资本经营预算收入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76,908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其他国有资本经营预算支出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15,500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</w:trPr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</w:trPr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128,214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17,070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</w:trPr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中央专项转移支付收入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调出资金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112,830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</w:trPr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上年结余收入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928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补助下级支出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</w:trPr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年终结余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</w:trPr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</w:trPr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收入总计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129,992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支出总计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122,992</w:t>
            </w:r>
          </w:p>
        </w:tc>
      </w:tr>
    </w:tbl>
    <w:p>
      <w:pPr>
        <w:rPr>
          <w:rFonts w:hint="default" w:ascii="Times New Roman" w:hAnsi="Times New Roman" w:eastAsia="方正大标宋简体" w:cs="Times New Roman"/>
          <w:color w:val="auto"/>
          <w:spacing w:val="-11"/>
          <w:sz w:val="36"/>
          <w:szCs w:val="36"/>
        </w:rPr>
      </w:pPr>
    </w:p>
    <w:p>
      <w:pPr>
        <w:rPr>
          <w:rFonts w:hint="default" w:ascii="Times New Roman" w:hAnsi="Times New Roman" w:eastAsia="方正大标宋简体" w:cs="Times New Roman"/>
          <w:color w:val="auto"/>
          <w:spacing w:val="-11"/>
          <w:sz w:val="36"/>
          <w:szCs w:val="36"/>
        </w:rPr>
      </w:pPr>
    </w:p>
    <w:p>
      <w:pPr>
        <w:rPr>
          <w:rFonts w:hint="default" w:ascii="Times New Roman" w:hAnsi="Times New Roman" w:eastAsia="方正大标宋简体" w:cs="Times New Roman"/>
          <w:color w:val="auto"/>
          <w:spacing w:val="-23"/>
          <w:sz w:val="40"/>
          <w:szCs w:val="40"/>
        </w:rPr>
      </w:pPr>
    </w:p>
    <w:p>
      <w:pPr>
        <w:rPr>
          <w:rFonts w:hint="default" w:ascii="Times New Roman" w:hAnsi="Times New Roman" w:eastAsia="方正大标宋简体" w:cs="Times New Roman"/>
          <w:color w:val="auto"/>
          <w:spacing w:val="-23"/>
          <w:sz w:val="40"/>
          <w:szCs w:val="40"/>
          <w:highlight w:val="none"/>
        </w:rPr>
      </w:pPr>
      <w:r>
        <w:rPr>
          <w:rFonts w:hint="default" w:ascii="Times New Roman" w:hAnsi="Times New Roman" w:eastAsia="方正大标宋简体" w:cs="Times New Roman"/>
          <w:color w:val="auto"/>
          <w:spacing w:val="-23"/>
          <w:sz w:val="40"/>
          <w:szCs w:val="40"/>
          <w:highlight w:val="none"/>
        </w:rPr>
        <w:t>关于202</w:t>
      </w:r>
      <w:r>
        <w:rPr>
          <w:rFonts w:hint="default" w:ascii="Times New Roman" w:hAnsi="Times New Roman" w:eastAsia="方正大标宋简体" w:cs="Times New Roman"/>
          <w:color w:val="auto"/>
          <w:spacing w:val="-23"/>
          <w:sz w:val="40"/>
          <w:szCs w:val="40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大标宋简体" w:cs="Times New Roman"/>
          <w:color w:val="auto"/>
          <w:spacing w:val="-23"/>
          <w:sz w:val="40"/>
          <w:szCs w:val="40"/>
          <w:highlight w:val="none"/>
        </w:rPr>
        <w:t>年全市国有资本经营预算收支执行情况的说明</w:t>
      </w:r>
    </w:p>
    <w:p>
      <w:pPr>
        <w:spacing w:line="600" w:lineRule="exact"/>
        <w:jc w:val="both"/>
        <w:rPr>
          <w:rFonts w:hint="default" w:ascii="Times New Roman" w:hAnsi="Times New Roman" w:eastAsia="仿宋" w:cs="Times New Roman"/>
          <w:color w:val="auto"/>
          <w:sz w:val="34"/>
          <w:szCs w:val="3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pacing w:val="-11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4"/>
          <w:szCs w:val="34"/>
          <w:highlight w:val="none"/>
        </w:rPr>
        <w:t>汇总全市各级人代会批准的</w:t>
      </w:r>
      <w:r>
        <w:rPr>
          <w:rFonts w:hint="default" w:ascii="Times New Roman" w:hAnsi="Times New Roman" w:eastAsia="仿宋_GB2312" w:cs="Times New Roman"/>
          <w:bCs/>
          <w:color w:val="auto"/>
          <w:sz w:val="34"/>
          <w:szCs w:val="34"/>
          <w:highlight w:val="none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bCs/>
          <w:color w:val="auto"/>
          <w:sz w:val="34"/>
          <w:szCs w:val="34"/>
          <w:highlight w:val="none"/>
        </w:rPr>
        <w:t>年全市国有资本经营预算收入年初预算</w:t>
      </w:r>
      <w:r>
        <w:rPr>
          <w:rFonts w:hint="default" w:ascii="Times New Roman" w:hAnsi="Times New Roman" w:eastAsia="仿宋_GB2312" w:cs="Times New Roman"/>
          <w:bCs/>
          <w:color w:val="auto"/>
          <w:sz w:val="34"/>
          <w:szCs w:val="34"/>
          <w:highlight w:val="none"/>
          <w:lang w:val="en-US" w:eastAsia="zh-CN"/>
        </w:rPr>
        <w:t>65436</w:t>
      </w:r>
      <w:r>
        <w:rPr>
          <w:rFonts w:hint="default" w:ascii="Times New Roman" w:hAnsi="Times New Roman" w:eastAsia="仿宋_GB2312" w:cs="Times New Roman"/>
          <w:bCs/>
          <w:color w:val="auto"/>
          <w:sz w:val="34"/>
          <w:szCs w:val="34"/>
          <w:highlight w:val="none"/>
        </w:rPr>
        <w:t>万元，</w:t>
      </w:r>
      <w:r>
        <w:rPr>
          <w:rFonts w:hint="eastAsia" w:eastAsia="仿宋_GB2312" w:cs="Times New Roman"/>
          <w:bCs/>
          <w:color w:val="auto"/>
          <w:sz w:val="34"/>
          <w:szCs w:val="34"/>
          <w:highlight w:val="none"/>
          <w:lang w:val="en-US" w:eastAsia="zh-CN"/>
        </w:rPr>
        <w:t>调整后年初预算为125436万元，</w:t>
      </w:r>
      <w:r>
        <w:rPr>
          <w:rFonts w:hint="default" w:ascii="Times New Roman" w:hAnsi="Times New Roman" w:eastAsia="仿宋_GB2312" w:cs="Times New Roman"/>
          <w:bCs/>
          <w:color w:val="auto"/>
          <w:sz w:val="34"/>
          <w:szCs w:val="34"/>
          <w:highlight w:val="none"/>
        </w:rPr>
        <w:t>实际完成</w:t>
      </w:r>
      <w:r>
        <w:rPr>
          <w:rFonts w:hint="default" w:ascii="Times New Roman" w:hAnsi="Times New Roman" w:eastAsia="仿宋_GB2312" w:cs="Times New Roman"/>
          <w:bCs/>
          <w:color w:val="auto"/>
          <w:sz w:val="34"/>
          <w:szCs w:val="34"/>
          <w:highlight w:val="none"/>
          <w:lang w:val="en-US" w:eastAsia="zh-CN"/>
        </w:rPr>
        <w:t>128214</w:t>
      </w:r>
      <w:r>
        <w:rPr>
          <w:rFonts w:hint="default" w:ascii="Times New Roman" w:hAnsi="Times New Roman" w:eastAsia="仿宋_GB2312" w:cs="Times New Roman"/>
          <w:bCs/>
          <w:color w:val="auto"/>
          <w:sz w:val="34"/>
          <w:szCs w:val="34"/>
          <w:highlight w:val="none"/>
        </w:rPr>
        <w:t>万元，</w:t>
      </w:r>
      <w:r>
        <w:rPr>
          <w:rFonts w:hint="default" w:ascii="Times New Roman" w:hAnsi="Times New Roman" w:eastAsia="仿宋_GB2312" w:cs="Times New Roman"/>
          <w:bCs/>
          <w:color w:val="auto"/>
          <w:sz w:val="34"/>
          <w:szCs w:val="34"/>
          <w:highlight w:val="none"/>
          <w:lang w:eastAsia="zh-CN"/>
        </w:rPr>
        <w:t>为</w:t>
      </w:r>
      <w:r>
        <w:rPr>
          <w:rFonts w:hint="eastAsia" w:eastAsia="仿宋_GB2312" w:cs="Times New Roman"/>
          <w:bCs/>
          <w:color w:val="auto"/>
          <w:sz w:val="34"/>
          <w:szCs w:val="34"/>
          <w:highlight w:val="none"/>
          <w:lang w:val="en-US" w:eastAsia="zh-CN"/>
        </w:rPr>
        <w:t>调整</w:t>
      </w:r>
      <w:r>
        <w:rPr>
          <w:rFonts w:hint="default" w:ascii="Times New Roman" w:hAnsi="Times New Roman" w:eastAsia="仿宋_GB2312" w:cs="Times New Roman"/>
          <w:bCs/>
          <w:color w:val="auto"/>
          <w:sz w:val="34"/>
          <w:szCs w:val="34"/>
          <w:highlight w:val="none"/>
          <w:lang w:eastAsia="zh-CN"/>
        </w:rPr>
        <w:t>预算的</w:t>
      </w:r>
      <w:r>
        <w:rPr>
          <w:rFonts w:hint="eastAsia" w:eastAsia="仿宋_GB2312" w:cs="Times New Roman"/>
          <w:bCs/>
          <w:color w:val="auto"/>
          <w:sz w:val="34"/>
          <w:szCs w:val="34"/>
          <w:highlight w:val="none"/>
          <w:lang w:val="en-US" w:eastAsia="zh-CN"/>
        </w:rPr>
        <w:t>102.2</w:t>
      </w:r>
      <w:r>
        <w:rPr>
          <w:rFonts w:hint="default" w:ascii="Times New Roman" w:hAnsi="Times New Roman" w:eastAsia="仿宋_GB2312" w:cs="Times New Roman"/>
          <w:bCs/>
          <w:color w:val="auto"/>
          <w:sz w:val="34"/>
          <w:szCs w:val="34"/>
          <w:highlight w:val="none"/>
          <w:lang w:val="en-US" w:eastAsia="zh-CN"/>
        </w:rPr>
        <w:t>%</w:t>
      </w:r>
      <w:r>
        <w:rPr>
          <w:rFonts w:hint="eastAsia" w:eastAsia="仿宋_GB2312" w:cs="Times New Roman"/>
          <w:bCs/>
          <w:color w:val="auto"/>
          <w:sz w:val="34"/>
          <w:szCs w:val="34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Cs/>
          <w:color w:val="auto"/>
          <w:sz w:val="34"/>
          <w:szCs w:val="34"/>
          <w:highlight w:val="none"/>
          <w:lang w:eastAsia="zh-CN"/>
        </w:rPr>
        <w:t>加上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上级专项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转移支付收入</w:t>
      </w:r>
      <w:r>
        <w:rPr>
          <w:rFonts w:hint="default" w:ascii="Times New Roman" w:hAnsi="Times New Roman" w:eastAsia="仿宋_GB2312" w:cs="Times New Roman"/>
          <w:bCs/>
          <w:color w:val="auto"/>
          <w:sz w:val="34"/>
          <w:szCs w:val="34"/>
          <w:highlight w:val="none"/>
          <w:lang w:val="en-US" w:eastAsia="zh-CN"/>
        </w:rPr>
        <w:t>850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万元，上年结转收入</w:t>
      </w:r>
      <w:r>
        <w:rPr>
          <w:rFonts w:hint="default" w:ascii="Times New Roman" w:hAnsi="Times New Roman" w:eastAsia="仿宋_GB2312" w:cs="Times New Roman"/>
          <w:bCs/>
          <w:color w:val="auto"/>
          <w:sz w:val="34"/>
          <w:szCs w:val="34"/>
          <w:highlight w:val="none"/>
          <w:lang w:val="en-US" w:eastAsia="zh-CN"/>
        </w:rPr>
        <w:t>928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万元，收入总计完成129992万元。年初支出预算</w:t>
      </w:r>
      <w:r>
        <w:rPr>
          <w:rFonts w:hint="default" w:ascii="Times New Roman" w:hAnsi="Times New Roman" w:eastAsia="仿宋_GB2312" w:cs="Times New Roman"/>
          <w:bCs/>
          <w:color w:val="auto"/>
          <w:sz w:val="34"/>
          <w:szCs w:val="34"/>
          <w:highlight w:val="none"/>
          <w:lang w:val="en-US" w:eastAsia="zh-CN"/>
        </w:rPr>
        <w:t>398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万元，调整后全市支出预算</w:t>
      </w:r>
      <w:r>
        <w:rPr>
          <w:rFonts w:hint="eastAsia" w:eastAsia="仿宋_GB2312" w:cs="Times New Roman"/>
          <w:color w:val="auto"/>
          <w:sz w:val="34"/>
          <w:szCs w:val="34"/>
          <w:highlight w:val="none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u w:val="none"/>
          <w:lang w:val="en-US" w:eastAsia="zh-CN"/>
        </w:rPr>
        <w:t>32798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万元，实际完成17070万元，为调整预算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u w:val="none"/>
          <w:lang w:val="en-US" w:eastAsia="zh-CN"/>
        </w:rPr>
        <w:t>的52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%，</w:t>
      </w:r>
      <w:r>
        <w:rPr>
          <w:rFonts w:hint="default" w:ascii="Times New Roman" w:hAnsi="Times New Roman" w:eastAsia="仿宋_GB2312" w:cs="Times New Roman"/>
          <w:bCs/>
          <w:color w:val="auto"/>
          <w:sz w:val="34"/>
          <w:szCs w:val="34"/>
          <w:highlight w:val="none"/>
          <w:lang w:val="en-US" w:eastAsia="zh-CN"/>
        </w:rPr>
        <w:t>调出资金112830万元。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highlight w:val="none"/>
          <w:lang w:val="en-US" w:eastAsia="zh-CN"/>
        </w:rPr>
        <w:t>收支相抵，年终结余92万元，全部结转下年使用</w:t>
      </w:r>
      <w:r>
        <w:rPr>
          <w:rFonts w:hint="default" w:ascii="Times New Roman" w:hAnsi="Times New Roman" w:eastAsia="仿宋" w:cs="Times New Roman"/>
          <w:color w:val="auto"/>
          <w:sz w:val="34"/>
          <w:szCs w:val="3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76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pacing w:val="-11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76" w:firstLineChars="200"/>
        <w:jc w:val="center"/>
        <w:textAlignment w:val="auto"/>
        <w:rPr>
          <w:rFonts w:hint="default" w:ascii="Times New Roman" w:hAnsi="Times New Roman" w:eastAsia="黑体" w:cs="Times New Roman"/>
          <w:color w:val="auto"/>
          <w:spacing w:val="-11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76" w:firstLineChars="200"/>
        <w:jc w:val="center"/>
        <w:textAlignment w:val="auto"/>
        <w:rPr>
          <w:rFonts w:hint="default" w:ascii="Times New Roman" w:hAnsi="Times New Roman" w:eastAsia="黑体" w:cs="Times New Roman"/>
          <w:color w:val="auto"/>
          <w:spacing w:val="-11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76" w:firstLineChars="200"/>
        <w:jc w:val="center"/>
        <w:textAlignment w:val="auto"/>
        <w:rPr>
          <w:rFonts w:hint="default" w:ascii="Times New Roman" w:hAnsi="Times New Roman" w:eastAsia="黑体" w:cs="Times New Roman"/>
          <w:color w:val="auto"/>
          <w:spacing w:val="-11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76" w:firstLineChars="200"/>
        <w:jc w:val="center"/>
        <w:textAlignment w:val="auto"/>
        <w:rPr>
          <w:rFonts w:hint="default" w:ascii="Times New Roman" w:hAnsi="Times New Roman" w:eastAsia="黑体" w:cs="Times New Roman"/>
          <w:color w:val="auto"/>
          <w:spacing w:val="-11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76" w:firstLineChars="200"/>
        <w:jc w:val="center"/>
        <w:textAlignment w:val="auto"/>
        <w:rPr>
          <w:rFonts w:hint="default" w:ascii="Times New Roman" w:hAnsi="Times New Roman" w:eastAsia="黑体" w:cs="Times New Roman"/>
          <w:color w:val="auto"/>
          <w:spacing w:val="-11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76" w:firstLineChars="200"/>
        <w:jc w:val="center"/>
        <w:textAlignment w:val="auto"/>
        <w:rPr>
          <w:rFonts w:hint="default" w:ascii="Times New Roman" w:hAnsi="Times New Roman" w:eastAsia="黑体" w:cs="Times New Roman"/>
          <w:color w:val="auto"/>
          <w:spacing w:val="-11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76" w:firstLineChars="200"/>
        <w:jc w:val="center"/>
        <w:textAlignment w:val="auto"/>
        <w:rPr>
          <w:rFonts w:hint="default" w:ascii="Times New Roman" w:hAnsi="Times New Roman" w:eastAsia="黑体" w:cs="Times New Roman"/>
          <w:color w:val="auto"/>
          <w:spacing w:val="-11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76" w:firstLineChars="200"/>
        <w:jc w:val="center"/>
        <w:textAlignment w:val="auto"/>
        <w:rPr>
          <w:rFonts w:hint="default" w:ascii="Times New Roman" w:hAnsi="Times New Roman" w:eastAsia="黑体" w:cs="Times New Roman"/>
          <w:color w:val="auto"/>
          <w:spacing w:val="-11"/>
          <w:sz w:val="36"/>
          <w:szCs w:val="36"/>
          <w:lang w:val="en-US" w:eastAsia="zh-CN"/>
        </w:rPr>
      </w:pPr>
    </w:p>
    <w:p>
      <w:pPr>
        <w:rPr>
          <w:rFonts w:hint="default" w:ascii="Times New Roman" w:hAnsi="Times New Roman" w:eastAsia="黑体" w:cs="Times New Roman"/>
          <w:color w:val="auto"/>
          <w:spacing w:val="-11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-11"/>
          <w:sz w:val="36"/>
          <w:szCs w:val="36"/>
          <w:lang w:val="en-US" w:eastAsia="zh-CN"/>
        </w:rPr>
        <w:br w:type="page"/>
      </w:r>
    </w:p>
    <w:tbl>
      <w:tblPr>
        <w:tblStyle w:val="10"/>
        <w:tblW w:w="88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66"/>
        <w:gridCol w:w="1326"/>
        <w:gridCol w:w="3276"/>
        <w:gridCol w:w="13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8824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2023年市级国有资本经营预算收支执行情况总表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24" w:type="dxa"/>
            <w:gridSpan w:val="4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单位:万元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</w:trPr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收入执行数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支出执行数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</w:trPr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利润收入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4,019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解决历史遗留问题及改革成本支出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</w:trPr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股利、股息收入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国有企业资本金注入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</w:trPr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产权转让收入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国有企业政策性补贴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</w:trPr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清算收入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金融国有资本经营预算支出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</w:trPr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其他国有资本经营预算收入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其他国有资本经营预算支出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</w:trPr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</w:trPr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4,019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</w:trPr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中央专项转移支付收入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调出资金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4,019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</w:trPr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上年结余收入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补助下级支出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</w:trPr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年终结余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</w:trPr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</w:trPr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收入总计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4,111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支出总计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4,111</w:t>
            </w:r>
          </w:p>
        </w:tc>
      </w:tr>
    </w:tbl>
    <w:p>
      <w:pPr>
        <w:rPr>
          <w:rFonts w:hint="default" w:ascii="Times New Roman" w:hAnsi="Times New Roman" w:eastAsia="仿宋" w:cs="Times New Roman"/>
          <w:color w:val="auto"/>
        </w:rPr>
      </w:pPr>
    </w:p>
    <w:p>
      <w:pPr>
        <w:rPr>
          <w:rFonts w:hint="default" w:ascii="Times New Roman" w:hAnsi="Times New Roman" w:eastAsia="仿宋" w:cs="Times New Roman"/>
          <w:color w:val="auto"/>
        </w:rPr>
      </w:pPr>
    </w:p>
    <w:p>
      <w:pPr>
        <w:rPr>
          <w:rFonts w:hint="default" w:ascii="Times New Roman" w:hAnsi="Times New Roman" w:eastAsia="仿宋" w:cs="Times New Roman"/>
          <w:color w:val="auto"/>
        </w:rPr>
      </w:pPr>
    </w:p>
    <w:p>
      <w:pPr>
        <w:rPr>
          <w:rFonts w:hint="default" w:ascii="Times New Roman" w:hAnsi="Times New Roman" w:eastAsia="仿宋" w:cs="Times New Roman"/>
          <w:color w:val="auto"/>
        </w:rPr>
        <w:sectPr>
          <w:footerReference r:id="rId6" w:type="default"/>
          <w:pgSz w:w="11906" w:h="16838"/>
          <w:pgMar w:top="1985" w:right="1644" w:bottom="1985" w:left="1644" w:header="851" w:footer="1531" w:gutter="0"/>
          <w:pgNumType w:fmt="decimal"/>
          <w:cols w:space="720" w:num="1"/>
          <w:docGrid w:type="lines" w:linePitch="312" w:charSpace="0"/>
        </w:sectPr>
      </w:pPr>
    </w:p>
    <w:p>
      <w:pPr>
        <w:rPr>
          <w:rFonts w:hint="default" w:ascii="Times New Roman" w:hAnsi="Times New Roman" w:eastAsia="方正大标宋简体" w:cs="Times New Roman"/>
          <w:color w:val="auto"/>
          <w:spacing w:val="-23"/>
          <w:sz w:val="40"/>
          <w:szCs w:val="40"/>
          <w:highlight w:val="none"/>
          <w:lang w:eastAsia="zh-CN"/>
        </w:rPr>
      </w:pPr>
    </w:p>
    <w:p>
      <w:pPr>
        <w:rPr>
          <w:rFonts w:hint="default" w:ascii="Times New Roman" w:hAnsi="Times New Roman" w:eastAsia="方正大标宋简体" w:cs="Times New Roman"/>
          <w:color w:val="auto"/>
          <w:spacing w:val="-23"/>
          <w:sz w:val="40"/>
          <w:szCs w:val="40"/>
          <w:highlight w:val="none"/>
          <w:lang w:eastAsia="zh-CN"/>
        </w:rPr>
      </w:pPr>
      <w:r>
        <w:rPr>
          <w:rFonts w:hint="default" w:ascii="Times New Roman" w:hAnsi="Times New Roman" w:eastAsia="方正大标宋简体" w:cs="Times New Roman"/>
          <w:color w:val="auto"/>
          <w:spacing w:val="-23"/>
          <w:sz w:val="40"/>
          <w:szCs w:val="40"/>
          <w:highlight w:val="none"/>
          <w:lang w:eastAsia="zh-CN"/>
        </w:rPr>
        <w:t>关于202</w:t>
      </w:r>
      <w:r>
        <w:rPr>
          <w:rFonts w:hint="default" w:ascii="Times New Roman" w:hAnsi="Times New Roman" w:eastAsia="方正大标宋简体" w:cs="Times New Roman"/>
          <w:color w:val="auto"/>
          <w:spacing w:val="-23"/>
          <w:sz w:val="40"/>
          <w:szCs w:val="40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大标宋简体" w:cs="Times New Roman"/>
          <w:color w:val="auto"/>
          <w:spacing w:val="-23"/>
          <w:sz w:val="40"/>
          <w:szCs w:val="40"/>
          <w:highlight w:val="none"/>
          <w:lang w:eastAsia="zh-CN"/>
        </w:rPr>
        <w:t>年市级国有资本经营预算收支执行情况的说明</w:t>
      </w:r>
    </w:p>
    <w:p>
      <w:pPr>
        <w:autoSpaceDE w:val="0"/>
        <w:autoSpaceDN w:val="0"/>
        <w:adjustRightInd w:val="0"/>
        <w:snapToGrid w:val="0"/>
        <w:spacing w:line="600" w:lineRule="exact"/>
        <w:ind w:firstLine="680" w:firstLineChars="200"/>
        <w:rPr>
          <w:rFonts w:hint="default" w:ascii="Times New Roman" w:hAnsi="Times New Roman" w:eastAsia="仿宋" w:cs="Times New Roman"/>
          <w:color w:val="auto"/>
          <w:sz w:val="34"/>
          <w:szCs w:val="3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pacing w:val="6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>市八届人大一次会议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批准的</w:t>
      </w:r>
      <w:r>
        <w:rPr>
          <w:rFonts w:hint="default" w:ascii="Times New Roman" w:hAnsi="Times New Roman" w:eastAsia="仿宋_GB2312" w:cs="Times New Roman"/>
          <w:bCs/>
          <w:color w:val="auto"/>
          <w:sz w:val="34"/>
          <w:szCs w:val="34"/>
          <w:highlight w:val="none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年市本级国有资本经营预</w:t>
      </w:r>
      <w:r>
        <w:rPr>
          <w:rFonts w:hint="default" w:ascii="Times New Roman" w:hAnsi="Times New Roman" w:eastAsia="仿宋_GB2312" w:cs="Times New Roman"/>
          <w:color w:val="auto"/>
          <w:spacing w:val="6"/>
          <w:sz w:val="34"/>
          <w:szCs w:val="34"/>
          <w:highlight w:val="none"/>
        </w:rPr>
        <w:t>算收入年初预算</w:t>
      </w:r>
      <w:r>
        <w:rPr>
          <w:rFonts w:hint="default" w:ascii="Times New Roman" w:hAnsi="Times New Roman" w:eastAsia="仿宋_GB2312" w:cs="Times New Roman"/>
          <w:bCs/>
          <w:color w:val="auto"/>
          <w:spacing w:val="6"/>
          <w:sz w:val="34"/>
          <w:szCs w:val="34"/>
          <w:highlight w:val="none"/>
          <w:lang w:val="en-US" w:eastAsia="zh-CN"/>
        </w:rPr>
        <w:t>5436</w:t>
      </w:r>
      <w:r>
        <w:rPr>
          <w:rFonts w:hint="default" w:ascii="Times New Roman" w:hAnsi="Times New Roman" w:eastAsia="仿宋_GB2312" w:cs="Times New Roman"/>
          <w:color w:val="auto"/>
          <w:spacing w:val="6"/>
          <w:sz w:val="34"/>
          <w:szCs w:val="34"/>
          <w:highlight w:val="none"/>
        </w:rPr>
        <w:t>万元，实际完成</w:t>
      </w:r>
      <w:r>
        <w:rPr>
          <w:rFonts w:hint="default" w:ascii="Times New Roman" w:hAnsi="Times New Roman" w:eastAsia="仿宋_GB2312" w:cs="Times New Roman"/>
          <w:color w:val="auto"/>
          <w:spacing w:val="6"/>
          <w:sz w:val="34"/>
          <w:szCs w:val="34"/>
          <w:highlight w:val="none"/>
          <w:lang w:val="en-US" w:eastAsia="zh-CN"/>
        </w:rPr>
        <w:t>4019万元，为预算的73.9%，</w:t>
      </w:r>
      <w:r>
        <w:rPr>
          <w:rFonts w:hint="default" w:ascii="Times New Roman" w:hAnsi="Times New Roman" w:eastAsia="仿宋" w:cs="Times New Roman"/>
          <w:color w:val="auto"/>
          <w:spacing w:val="6"/>
          <w:sz w:val="34"/>
          <w:szCs w:val="34"/>
          <w:highlight w:val="none"/>
          <w:lang w:eastAsia="zh-CN"/>
        </w:rPr>
        <w:t>加上</w:t>
      </w:r>
      <w:r>
        <w:rPr>
          <w:rFonts w:hint="default" w:ascii="Times New Roman" w:hAnsi="Times New Roman" w:eastAsia="仿宋" w:cs="Times New Roman"/>
          <w:color w:val="auto"/>
          <w:spacing w:val="6"/>
          <w:sz w:val="34"/>
          <w:szCs w:val="34"/>
          <w:highlight w:val="none"/>
          <w:lang w:val="en-US" w:eastAsia="zh-CN"/>
        </w:rPr>
        <w:t>上级补助、上年结余收入，</w:t>
      </w:r>
      <w:r>
        <w:rPr>
          <w:rFonts w:hint="default" w:ascii="Times New Roman" w:hAnsi="Times New Roman" w:eastAsia="仿宋_GB2312" w:cs="Times New Roman"/>
          <w:color w:val="auto"/>
          <w:spacing w:val="6"/>
          <w:sz w:val="34"/>
          <w:szCs w:val="34"/>
          <w:highlight w:val="none"/>
          <w:lang w:val="en-US" w:eastAsia="zh-CN"/>
        </w:rPr>
        <w:t>收入总计完成4111万元</w:t>
      </w:r>
      <w:r>
        <w:rPr>
          <w:rFonts w:hint="default" w:ascii="Times New Roman" w:hAnsi="Times New Roman" w:eastAsia="仿宋_GB2312" w:cs="Times New Roman"/>
          <w:color w:val="auto"/>
          <w:spacing w:val="6"/>
          <w:sz w:val="34"/>
          <w:szCs w:val="34"/>
          <w:highlight w:val="none"/>
        </w:rPr>
        <w:t>。</w:t>
      </w:r>
      <w:r>
        <w:rPr>
          <w:rFonts w:hint="default" w:ascii="Times New Roman" w:hAnsi="Times New Roman" w:eastAsia="仿宋" w:cs="Times New Roman"/>
          <w:color w:val="auto"/>
          <w:spacing w:val="6"/>
          <w:sz w:val="34"/>
          <w:szCs w:val="34"/>
          <w:highlight w:val="none"/>
        </w:rPr>
        <w:t>支出预算</w:t>
      </w:r>
      <w:r>
        <w:rPr>
          <w:rFonts w:hint="default" w:ascii="Times New Roman" w:hAnsi="Times New Roman" w:eastAsia="仿宋" w:cs="Times New Roman"/>
          <w:color w:val="auto"/>
          <w:spacing w:val="6"/>
          <w:sz w:val="34"/>
          <w:szCs w:val="34"/>
          <w:highlight w:val="none"/>
          <w:lang w:val="en-US" w:eastAsia="zh-CN"/>
        </w:rPr>
        <w:t>142</w:t>
      </w:r>
      <w:r>
        <w:rPr>
          <w:rFonts w:hint="default" w:ascii="Times New Roman" w:hAnsi="Times New Roman" w:eastAsia="仿宋" w:cs="Times New Roman"/>
          <w:color w:val="auto"/>
          <w:spacing w:val="6"/>
          <w:sz w:val="34"/>
          <w:szCs w:val="34"/>
          <w:highlight w:val="none"/>
        </w:rPr>
        <w:t>万元，实际</w:t>
      </w:r>
      <w:r>
        <w:rPr>
          <w:rFonts w:hint="default" w:ascii="Times New Roman" w:hAnsi="Times New Roman" w:eastAsia="仿宋" w:cs="Times New Roman"/>
          <w:color w:val="auto"/>
          <w:spacing w:val="6"/>
          <w:sz w:val="34"/>
          <w:szCs w:val="34"/>
          <w:highlight w:val="none"/>
          <w:lang w:eastAsia="zh-CN"/>
        </w:rPr>
        <w:t>未支出</w:t>
      </w:r>
      <w:r>
        <w:rPr>
          <w:rFonts w:hint="default" w:ascii="Times New Roman" w:hAnsi="Times New Roman" w:eastAsia="仿宋_GB2312" w:cs="Times New Roman"/>
          <w:color w:val="auto"/>
          <w:spacing w:val="6"/>
          <w:sz w:val="34"/>
          <w:szCs w:val="34"/>
          <w:highlight w:val="none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6"/>
          <w:sz w:val="34"/>
          <w:szCs w:val="34"/>
          <w:highlight w:val="none"/>
          <w:lang w:eastAsia="zh-CN"/>
        </w:rPr>
        <w:t>调出资金</w:t>
      </w:r>
      <w:r>
        <w:rPr>
          <w:rFonts w:hint="default" w:ascii="Times New Roman" w:hAnsi="Times New Roman" w:eastAsia="仿宋_GB2312" w:cs="Times New Roman"/>
          <w:color w:val="auto"/>
          <w:spacing w:val="6"/>
          <w:sz w:val="34"/>
          <w:szCs w:val="34"/>
          <w:highlight w:val="none"/>
          <w:lang w:val="en-US" w:eastAsia="zh-CN"/>
        </w:rPr>
        <w:t>4019万元，</w:t>
      </w:r>
      <w:r>
        <w:rPr>
          <w:rFonts w:hint="default" w:ascii="Times New Roman" w:hAnsi="Times New Roman" w:eastAsia="仿宋" w:cs="Times New Roman"/>
          <w:color w:val="auto"/>
          <w:spacing w:val="6"/>
          <w:sz w:val="34"/>
          <w:szCs w:val="34"/>
          <w:highlight w:val="none"/>
          <w:lang w:val="en-US" w:eastAsia="zh-CN"/>
        </w:rPr>
        <w:t>收支相抵，年终结余92万元，全部结转下年使用</w:t>
      </w:r>
      <w:r>
        <w:rPr>
          <w:rFonts w:hint="default" w:ascii="Times New Roman" w:hAnsi="Times New Roman" w:eastAsia="仿宋" w:cs="Times New Roman"/>
          <w:color w:val="auto"/>
          <w:spacing w:val="6"/>
          <w:sz w:val="34"/>
          <w:szCs w:val="34"/>
          <w:highlight w:val="none"/>
        </w:rPr>
        <w:t>。</w:t>
      </w:r>
    </w:p>
    <w:p>
      <w:pPr>
        <w:jc w:val="center"/>
        <w:rPr>
          <w:rFonts w:hint="default" w:ascii="Times New Roman" w:hAnsi="Times New Roman" w:eastAsia="黑体" w:cs="Times New Roman"/>
          <w:color w:val="auto"/>
          <w:spacing w:val="-11"/>
          <w:sz w:val="36"/>
          <w:szCs w:val="36"/>
          <w:lang w:val="en-US" w:eastAsia="zh-CN"/>
        </w:rPr>
      </w:pPr>
    </w:p>
    <w:p>
      <w:pPr>
        <w:jc w:val="center"/>
        <w:rPr>
          <w:rFonts w:hint="default" w:ascii="Times New Roman" w:hAnsi="Times New Roman" w:eastAsia="黑体" w:cs="Times New Roman"/>
          <w:color w:val="auto"/>
          <w:spacing w:val="-11"/>
          <w:sz w:val="36"/>
          <w:szCs w:val="36"/>
          <w:lang w:val="en-US" w:eastAsia="zh-CN"/>
        </w:rPr>
      </w:pPr>
    </w:p>
    <w:p>
      <w:pPr>
        <w:jc w:val="center"/>
        <w:rPr>
          <w:rFonts w:hint="default" w:ascii="Times New Roman" w:hAnsi="Times New Roman" w:eastAsia="黑体" w:cs="Times New Roman"/>
          <w:color w:val="auto"/>
          <w:spacing w:val="-11"/>
          <w:sz w:val="36"/>
          <w:szCs w:val="36"/>
          <w:lang w:val="en-US" w:eastAsia="zh-CN"/>
        </w:rPr>
      </w:pPr>
    </w:p>
    <w:p>
      <w:pPr>
        <w:jc w:val="center"/>
        <w:rPr>
          <w:rFonts w:hint="default" w:ascii="Times New Roman" w:hAnsi="Times New Roman" w:eastAsia="黑体" w:cs="Times New Roman"/>
          <w:color w:val="auto"/>
          <w:spacing w:val="-11"/>
          <w:sz w:val="36"/>
          <w:szCs w:val="36"/>
          <w:lang w:val="en-US" w:eastAsia="zh-CN"/>
        </w:rPr>
      </w:pPr>
    </w:p>
    <w:p>
      <w:pPr>
        <w:jc w:val="center"/>
        <w:rPr>
          <w:rFonts w:hint="default" w:ascii="Times New Roman" w:hAnsi="Times New Roman" w:eastAsia="黑体" w:cs="Times New Roman"/>
          <w:color w:val="auto"/>
          <w:spacing w:val="-11"/>
          <w:sz w:val="36"/>
          <w:szCs w:val="36"/>
          <w:lang w:val="en-US" w:eastAsia="zh-CN"/>
        </w:rPr>
      </w:pPr>
    </w:p>
    <w:p>
      <w:pPr>
        <w:jc w:val="center"/>
        <w:rPr>
          <w:rFonts w:hint="default" w:ascii="Times New Roman" w:hAnsi="Times New Roman" w:eastAsia="黑体" w:cs="Times New Roman"/>
          <w:color w:val="auto"/>
          <w:spacing w:val="-11"/>
          <w:sz w:val="36"/>
          <w:szCs w:val="36"/>
          <w:lang w:val="en-US" w:eastAsia="zh-CN"/>
        </w:rPr>
      </w:pPr>
    </w:p>
    <w:p>
      <w:pPr>
        <w:jc w:val="center"/>
        <w:rPr>
          <w:rFonts w:hint="default" w:ascii="Times New Roman" w:hAnsi="Times New Roman" w:eastAsia="黑体" w:cs="Times New Roman"/>
          <w:color w:val="auto"/>
          <w:spacing w:val="-11"/>
          <w:sz w:val="36"/>
          <w:szCs w:val="36"/>
          <w:lang w:val="en-US" w:eastAsia="zh-CN"/>
        </w:rPr>
      </w:pPr>
    </w:p>
    <w:p>
      <w:pPr>
        <w:jc w:val="center"/>
        <w:rPr>
          <w:rFonts w:hint="default" w:ascii="Times New Roman" w:hAnsi="Times New Roman" w:eastAsia="黑体" w:cs="Times New Roman"/>
          <w:color w:val="auto"/>
          <w:spacing w:val="-11"/>
          <w:sz w:val="36"/>
          <w:szCs w:val="36"/>
          <w:lang w:val="en-US" w:eastAsia="zh-CN"/>
        </w:rPr>
      </w:pPr>
    </w:p>
    <w:p>
      <w:pPr>
        <w:jc w:val="center"/>
        <w:rPr>
          <w:rFonts w:hint="default" w:ascii="Times New Roman" w:hAnsi="Times New Roman" w:eastAsia="黑体" w:cs="Times New Roman"/>
          <w:color w:val="auto"/>
          <w:spacing w:val="-11"/>
          <w:sz w:val="36"/>
          <w:szCs w:val="36"/>
          <w:lang w:val="en-US" w:eastAsia="zh-CN"/>
        </w:rPr>
      </w:pPr>
    </w:p>
    <w:p>
      <w:pPr>
        <w:rPr>
          <w:rFonts w:hint="default" w:ascii="Times New Roman" w:hAnsi="Times New Roman" w:eastAsia="黑体" w:cs="Times New Roman"/>
          <w:color w:val="auto"/>
          <w:spacing w:val="-11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-11"/>
          <w:sz w:val="36"/>
          <w:szCs w:val="36"/>
          <w:lang w:val="en-US" w:eastAsia="zh-CN"/>
        </w:rPr>
        <w:br w:type="page"/>
      </w:r>
    </w:p>
    <w:tbl>
      <w:tblPr>
        <w:tblStyle w:val="10"/>
        <w:tblW w:w="864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68"/>
        <w:gridCol w:w="878"/>
        <w:gridCol w:w="1120"/>
        <w:gridCol w:w="2483"/>
        <w:gridCol w:w="878"/>
        <w:gridCol w:w="11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7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2023年全市社会保险预算收支执行情况总表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" w:hRule="atLeast"/>
        </w:trPr>
        <w:tc>
          <w:tcPr>
            <w:tcW w:w="8647" w:type="dxa"/>
            <w:gridSpan w:val="6"/>
            <w:shd w:val="clear" w:color="auto" w:fill="FFFFFF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647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单位:万元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预算科目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预算数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执行数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预算科目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预算数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执行数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城乡居民基本养老保险基金收入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69,158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78,267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城乡居民基本养老保险基金支出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49,090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56,198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机关事业单位基本养老保险基金收入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214,588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207,402 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机关事业单位基本养老保险基金支出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206,011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205,567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城镇职工基本医疗保险（含生育保险）基金收入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175,710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169,877 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城镇职工基本医疗保险基金支出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152,044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159,756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城乡居民基本医疗保险基金收入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166,867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160,512 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城乡居民基本医疗保险基金支出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167,718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158,621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工伤保险基金收入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7,012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6,940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工伤保险基金支出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3,398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12,130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失业保险基金收入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失业保险基金支出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16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 年 收 入 合 计</w:t>
            </w:r>
          </w:p>
        </w:tc>
        <w:tc>
          <w:tcPr>
            <w:tcW w:w="8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633,335</w:t>
            </w:r>
          </w:p>
        </w:tc>
        <w:tc>
          <w:tcPr>
            <w:tcW w:w="11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622,998</w:t>
            </w:r>
          </w:p>
        </w:tc>
        <w:tc>
          <w:tcPr>
            <w:tcW w:w="24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 年 支 出 合 计</w:t>
            </w:r>
          </w:p>
        </w:tc>
        <w:tc>
          <w:tcPr>
            <w:tcW w:w="8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578,261</w:t>
            </w:r>
          </w:p>
        </w:tc>
        <w:tc>
          <w:tcPr>
            <w:tcW w:w="11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92,272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上年结余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464,410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失业保险基金上级统筹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5,582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年末滚存结余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  <w:r>
              <w:rPr>
                <w:rFonts w:hint="eastAsia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9,554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收入总计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1,08</w:t>
            </w:r>
            <w:r>
              <w:rPr>
                <w:rFonts w:hint="eastAsia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7,408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支出总计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1,0</w:t>
            </w:r>
            <w:r>
              <w:rPr>
                <w:rFonts w:hint="eastAsia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87,408</w:t>
            </w:r>
          </w:p>
        </w:tc>
      </w:tr>
    </w:tbl>
    <w:p>
      <w:pPr>
        <w:jc w:val="both"/>
        <w:rPr>
          <w:rFonts w:hint="default" w:ascii="Times New Roman" w:hAnsi="Times New Roman" w:eastAsia="方正大标宋简体" w:cs="Times New Roman"/>
          <w:color w:val="auto"/>
          <w:spacing w:val="-23"/>
          <w:sz w:val="40"/>
          <w:szCs w:val="40"/>
          <w:lang w:val="en-US" w:eastAsia="zh-CN"/>
        </w:rPr>
        <w:sectPr>
          <w:type w:val="continuous"/>
          <w:pgSz w:w="11906" w:h="16838"/>
          <w:pgMar w:top="1985" w:right="1644" w:bottom="1985" w:left="1644" w:header="851" w:footer="1531" w:gutter="0"/>
          <w:pgNumType w:fmt="decimal"/>
          <w:cols w:space="720" w:num="1"/>
          <w:docGrid w:type="lines" w:linePitch="312" w:charSpace="0"/>
        </w:sectPr>
      </w:pPr>
    </w:p>
    <w:p>
      <w:pPr>
        <w:jc w:val="both"/>
        <w:rPr>
          <w:rFonts w:hint="default" w:ascii="Times New Roman" w:hAnsi="Times New Roman" w:eastAsia="方正大标宋简体" w:cs="Times New Roman"/>
          <w:color w:val="auto"/>
          <w:spacing w:val="-23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大标宋简体" w:cs="Times New Roman"/>
          <w:color w:val="auto"/>
          <w:spacing w:val="-23"/>
          <w:sz w:val="40"/>
          <w:szCs w:val="40"/>
          <w:lang w:val="en-US" w:eastAsia="zh-CN"/>
        </w:rPr>
        <w:t>关于2023年全市社会保险基金预算收支执行情况的说明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80" w:firstLineChars="200"/>
        <w:textAlignment w:val="auto"/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</w:pPr>
    </w:p>
    <w:p>
      <w:pPr>
        <w:pStyle w:val="12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汇总全市各级人代会批准的2023年全市社会保险基金预算收入年初预算633335万元，实际完成622998万元，增长5.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%。支出年初预算578261万元，实际完成592272万元，增长0.1%。当年收支结余30726万元。年末滚存结余489554万元。</w:t>
      </w:r>
    </w:p>
    <w:p>
      <w:pPr>
        <w:pStyle w:val="12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</w:pPr>
    </w:p>
    <w:p>
      <w:pPr>
        <w:pStyle w:val="12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</w:pPr>
    </w:p>
    <w:p>
      <w:pPr>
        <w:pStyle w:val="12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</w:pPr>
    </w:p>
    <w:p>
      <w:pPr>
        <w:pStyle w:val="12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</w:pPr>
    </w:p>
    <w:p>
      <w:pPr>
        <w:pStyle w:val="12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</w:pPr>
    </w:p>
    <w:p>
      <w:pPr>
        <w:pStyle w:val="12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</w:pPr>
    </w:p>
    <w:p>
      <w:pPr>
        <w:pStyle w:val="12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sectPr>
          <w:pgSz w:w="11906" w:h="16838"/>
          <w:pgMar w:top="1985" w:right="1644" w:bottom="1985" w:left="1644" w:header="851" w:footer="1531" w:gutter="0"/>
          <w:pgNumType w:fmt="decimal"/>
          <w:cols w:space="720" w:num="1"/>
          <w:docGrid w:type="lines" w:linePitch="312" w:charSpace="0"/>
        </w:sectPr>
      </w:pPr>
    </w:p>
    <w:tbl>
      <w:tblPr>
        <w:tblStyle w:val="10"/>
        <w:tblW w:w="87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31"/>
        <w:gridCol w:w="1068"/>
        <w:gridCol w:w="1087"/>
        <w:gridCol w:w="2495"/>
        <w:gridCol w:w="1031"/>
        <w:gridCol w:w="9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750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2023年市级社会保险基金预算收支执行情况总表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8750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单位:万元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预算科目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预算数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执行数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预算科目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预算数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执行数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机关事业单位基本养老保险基金收入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214,588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207,402 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机关事业单位基本养老保险基金支出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206,011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205,567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城镇职工基本医疗保险基金收入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175,710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169,877 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城镇职工基本医疗保险基金支出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152,044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159,756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城乡居民基本医疗保险基金收入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166,867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160,512 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城乡居民基本医疗保险基金支出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167,718</w:t>
            </w:r>
          </w:p>
        </w:tc>
        <w:tc>
          <w:tcPr>
            <w:tcW w:w="9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158,621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工伤保险基金收入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7,012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6,940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工伤保险基金支出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3,398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12,130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失业保险基金收入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失业保险基金支出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13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 年 收 入 合 计</w:t>
            </w:r>
          </w:p>
        </w:tc>
        <w:tc>
          <w:tcPr>
            <w:tcW w:w="1068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564,177</w:t>
            </w:r>
          </w:p>
        </w:tc>
        <w:tc>
          <w:tcPr>
            <w:tcW w:w="1087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44,731</w:t>
            </w:r>
          </w:p>
        </w:tc>
        <w:tc>
          <w:tcPr>
            <w:tcW w:w="249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 年 支 出 合 计</w:t>
            </w:r>
          </w:p>
        </w:tc>
        <w:tc>
          <w:tcPr>
            <w:tcW w:w="103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529,171</w:t>
            </w:r>
          </w:p>
        </w:tc>
        <w:tc>
          <w:tcPr>
            <w:tcW w:w="938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36,074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上年结余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287,9</w:t>
            </w:r>
            <w:r>
              <w:rPr>
                <w:rFonts w:hint="eastAsia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1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失业保险基金上级统筹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5,582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1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年末滚存结余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90,984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13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收  入  总  计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32,640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  出  总  计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32,640</w:t>
            </w:r>
          </w:p>
        </w:tc>
      </w:tr>
    </w:tbl>
    <w:p>
      <w:pPr>
        <w:jc w:val="both"/>
        <w:rPr>
          <w:rFonts w:hint="default" w:ascii="Times New Roman" w:hAnsi="Times New Roman" w:eastAsia="方正大标宋简体" w:cs="Times New Roman"/>
          <w:color w:val="auto"/>
          <w:spacing w:val="-23"/>
          <w:sz w:val="40"/>
          <w:szCs w:val="40"/>
          <w:lang w:val="en-US" w:eastAsia="zh-CN"/>
        </w:rPr>
      </w:pPr>
    </w:p>
    <w:p>
      <w:pPr>
        <w:jc w:val="both"/>
        <w:rPr>
          <w:rFonts w:hint="default" w:ascii="Times New Roman" w:hAnsi="Times New Roman" w:eastAsia="方正大标宋简体" w:cs="Times New Roman"/>
          <w:color w:val="auto"/>
          <w:spacing w:val="-23"/>
          <w:sz w:val="40"/>
          <w:szCs w:val="40"/>
          <w:lang w:val="en-US" w:eastAsia="zh-CN"/>
        </w:rPr>
      </w:pPr>
    </w:p>
    <w:p>
      <w:pPr>
        <w:jc w:val="both"/>
        <w:rPr>
          <w:rFonts w:hint="default" w:ascii="Times New Roman" w:hAnsi="Times New Roman" w:eastAsia="方正大标宋简体" w:cs="Times New Roman"/>
          <w:color w:val="auto"/>
          <w:spacing w:val="-23"/>
          <w:sz w:val="40"/>
          <w:szCs w:val="40"/>
          <w:lang w:val="en-US" w:eastAsia="zh-CN"/>
        </w:rPr>
      </w:pPr>
    </w:p>
    <w:p>
      <w:pPr>
        <w:jc w:val="both"/>
        <w:rPr>
          <w:rFonts w:hint="default" w:ascii="Times New Roman" w:hAnsi="Times New Roman" w:eastAsia="方正大标宋简体" w:cs="Times New Roman"/>
          <w:color w:val="auto"/>
          <w:spacing w:val="-23"/>
          <w:sz w:val="40"/>
          <w:szCs w:val="40"/>
          <w:lang w:val="en-US" w:eastAsia="zh-CN"/>
        </w:rPr>
      </w:pPr>
    </w:p>
    <w:p>
      <w:pPr>
        <w:jc w:val="both"/>
        <w:rPr>
          <w:rFonts w:hint="default" w:ascii="Times New Roman" w:hAnsi="Times New Roman" w:eastAsia="方正大标宋简体" w:cs="Times New Roman"/>
          <w:color w:val="auto"/>
          <w:spacing w:val="-23"/>
          <w:sz w:val="40"/>
          <w:szCs w:val="40"/>
          <w:lang w:val="en-US" w:eastAsia="zh-CN"/>
        </w:rPr>
      </w:pPr>
    </w:p>
    <w:p>
      <w:pPr>
        <w:jc w:val="both"/>
        <w:rPr>
          <w:rFonts w:hint="default" w:ascii="Times New Roman" w:hAnsi="Times New Roman" w:eastAsia="方正大标宋简体" w:cs="Times New Roman"/>
          <w:color w:val="auto"/>
          <w:spacing w:val="-23"/>
          <w:sz w:val="40"/>
          <w:szCs w:val="40"/>
          <w:lang w:val="en-US" w:eastAsia="zh-CN"/>
        </w:rPr>
      </w:pPr>
    </w:p>
    <w:p>
      <w:pPr>
        <w:jc w:val="both"/>
        <w:rPr>
          <w:rFonts w:hint="default" w:ascii="Times New Roman" w:hAnsi="Times New Roman" w:eastAsia="方正大标宋简体" w:cs="Times New Roman"/>
          <w:color w:val="auto"/>
          <w:spacing w:val="-23"/>
          <w:sz w:val="40"/>
          <w:szCs w:val="40"/>
          <w:lang w:val="en-US" w:eastAsia="zh-CN"/>
        </w:rPr>
      </w:pPr>
    </w:p>
    <w:p>
      <w:pPr>
        <w:jc w:val="both"/>
        <w:rPr>
          <w:rFonts w:hint="default" w:ascii="Times New Roman" w:hAnsi="Times New Roman" w:eastAsia="方正大标宋简体" w:cs="Times New Roman"/>
          <w:color w:val="auto"/>
          <w:spacing w:val="-11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大标宋简体" w:cs="Times New Roman"/>
          <w:color w:val="auto"/>
          <w:spacing w:val="-23"/>
          <w:sz w:val="40"/>
          <w:szCs w:val="40"/>
          <w:lang w:val="en-US" w:eastAsia="zh-CN"/>
        </w:rPr>
        <w:t>关于2023年市级社会保险基金预算收支执行情况的说明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64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</w:p>
    <w:p>
      <w:pPr>
        <w:spacing w:line="640" w:lineRule="exact"/>
        <w:ind w:firstLine="680" w:firstLineChars="200"/>
        <w:jc w:val="both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市八届人大一次会议批准的2023年市本级社会保险基金预算收入年初预算564177万元，实际完成544731万元，增长3.</w:t>
      </w:r>
      <w:r>
        <w:rPr>
          <w:rFonts w:hint="eastAsia" w:eastAsia="仿宋_GB2312" w:cs="Times New Roman"/>
          <w:color w:val="auto"/>
          <w:sz w:val="34"/>
          <w:szCs w:val="34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%。支出年初预算529171万元，实际完成536074万元，下降1.7%</w:t>
      </w:r>
      <w:r>
        <w:rPr>
          <w:rFonts w:hint="eastAsia" w:eastAsia="仿宋_GB2312" w:cs="Times New Roman"/>
          <w:color w:val="auto"/>
          <w:sz w:val="34"/>
          <w:szCs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主要是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失业保险实行省级统筹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。当年收支结余8657万元，年末滚存结余290984万元。</w:t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3714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985" w:right="1644" w:bottom="1985" w:left="1644" w:header="851" w:footer="1531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  <w:t>13-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27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  <w:lang w:val="en-US" w:eastAsia="zh-CN"/>
                      </w:rPr>
                      <w:t>13-</w:t>
                    </w: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27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  <w:t>13-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3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  <w:lang w:val="en-US" w:eastAsia="zh-CN"/>
                      </w:rPr>
                      <w:t>13-</w:t>
                    </w: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3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92CD42"/>
    <w:multiLevelType w:val="singleLevel"/>
    <w:tmpl w:val="4F92CD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xNjhhZjYwYzRlYWUzMzkwMzUyMGUwZWUxMDY0MDIifQ=="/>
  </w:docVars>
  <w:rsids>
    <w:rsidRoot w:val="00172A27"/>
    <w:rsid w:val="00FB606F"/>
    <w:rsid w:val="015D150F"/>
    <w:rsid w:val="01830B9E"/>
    <w:rsid w:val="02403129"/>
    <w:rsid w:val="024C4F5E"/>
    <w:rsid w:val="02AB7358"/>
    <w:rsid w:val="03845E94"/>
    <w:rsid w:val="04D80C7E"/>
    <w:rsid w:val="069F3768"/>
    <w:rsid w:val="0779321D"/>
    <w:rsid w:val="07A80859"/>
    <w:rsid w:val="0854761F"/>
    <w:rsid w:val="0992228E"/>
    <w:rsid w:val="0B11459B"/>
    <w:rsid w:val="0BE3282F"/>
    <w:rsid w:val="0D594196"/>
    <w:rsid w:val="0D6D60FA"/>
    <w:rsid w:val="0E784699"/>
    <w:rsid w:val="0E906E30"/>
    <w:rsid w:val="0EB91375"/>
    <w:rsid w:val="10D17073"/>
    <w:rsid w:val="11705844"/>
    <w:rsid w:val="11D92980"/>
    <w:rsid w:val="12FE16DE"/>
    <w:rsid w:val="130865C9"/>
    <w:rsid w:val="13224A7C"/>
    <w:rsid w:val="135443C6"/>
    <w:rsid w:val="14244330"/>
    <w:rsid w:val="15224288"/>
    <w:rsid w:val="15D6266C"/>
    <w:rsid w:val="16F82946"/>
    <w:rsid w:val="172B73D3"/>
    <w:rsid w:val="18273A1C"/>
    <w:rsid w:val="186D7BD2"/>
    <w:rsid w:val="18C42DAA"/>
    <w:rsid w:val="195B5257"/>
    <w:rsid w:val="19B26D75"/>
    <w:rsid w:val="1A3F5C89"/>
    <w:rsid w:val="1B955868"/>
    <w:rsid w:val="1CDB7762"/>
    <w:rsid w:val="1E0D6B41"/>
    <w:rsid w:val="1EDF3035"/>
    <w:rsid w:val="1F6B36D3"/>
    <w:rsid w:val="1F6B4EEC"/>
    <w:rsid w:val="21EF7359"/>
    <w:rsid w:val="22647361"/>
    <w:rsid w:val="23134287"/>
    <w:rsid w:val="235758C3"/>
    <w:rsid w:val="24260712"/>
    <w:rsid w:val="24820816"/>
    <w:rsid w:val="250425CE"/>
    <w:rsid w:val="26597CF6"/>
    <w:rsid w:val="26E8678D"/>
    <w:rsid w:val="275E4080"/>
    <w:rsid w:val="27693709"/>
    <w:rsid w:val="276A0DAA"/>
    <w:rsid w:val="288307FB"/>
    <w:rsid w:val="2A202C72"/>
    <w:rsid w:val="2AE51EAE"/>
    <w:rsid w:val="2C45155C"/>
    <w:rsid w:val="2C4F6E40"/>
    <w:rsid w:val="2C7135FC"/>
    <w:rsid w:val="2CF71984"/>
    <w:rsid w:val="2D5D71AD"/>
    <w:rsid w:val="2FBD55A0"/>
    <w:rsid w:val="2FEC0176"/>
    <w:rsid w:val="30610C56"/>
    <w:rsid w:val="313622DC"/>
    <w:rsid w:val="32297C2D"/>
    <w:rsid w:val="327028F4"/>
    <w:rsid w:val="34076784"/>
    <w:rsid w:val="3435262E"/>
    <w:rsid w:val="347A40F6"/>
    <w:rsid w:val="368F2AF3"/>
    <w:rsid w:val="371C7594"/>
    <w:rsid w:val="38423F1C"/>
    <w:rsid w:val="38716D99"/>
    <w:rsid w:val="38814B43"/>
    <w:rsid w:val="38A861D6"/>
    <w:rsid w:val="39513AA6"/>
    <w:rsid w:val="39E17AF7"/>
    <w:rsid w:val="39F023E7"/>
    <w:rsid w:val="3A067107"/>
    <w:rsid w:val="3B6B38F6"/>
    <w:rsid w:val="3D693BCA"/>
    <w:rsid w:val="3DE60759"/>
    <w:rsid w:val="3E1B382D"/>
    <w:rsid w:val="3F1613E0"/>
    <w:rsid w:val="3FD77461"/>
    <w:rsid w:val="40E340D5"/>
    <w:rsid w:val="41E11FE7"/>
    <w:rsid w:val="43053FFD"/>
    <w:rsid w:val="43537F07"/>
    <w:rsid w:val="438D1D9B"/>
    <w:rsid w:val="44D501D8"/>
    <w:rsid w:val="44E85A94"/>
    <w:rsid w:val="457123CD"/>
    <w:rsid w:val="48840D1C"/>
    <w:rsid w:val="49634AE0"/>
    <w:rsid w:val="49ED4CD1"/>
    <w:rsid w:val="4AFB207F"/>
    <w:rsid w:val="4BB94712"/>
    <w:rsid w:val="4C9036F0"/>
    <w:rsid w:val="4D365FCF"/>
    <w:rsid w:val="4D4205D0"/>
    <w:rsid w:val="4DDA060D"/>
    <w:rsid w:val="4F3C3B58"/>
    <w:rsid w:val="50852DDA"/>
    <w:rsid w:val="50E51B46"/>
    <w:rsid w:val="51D61ADF"/>
    <w:rsid w:val="535339D2"/>
    <w:rsid w:val="53CA31D2"/>
    <w:rsid w:val="543017D0"/>
    <w:rsid w:val="547841B3"/>
    <w:rsid w:val="56532F7E"/>
    <w:rsid w:val="5655570E"/>
    <w:rsid w:val="5715646F"/>
    <w:rsid w:val="58AB41EB"/>
    <w:rsid w:val="58B32745"/>
    <w:rsid w:val="59EE6FA4"/>
    <w:rsid w:val="5A03767E"/>
    <w:rsid w:val="5A5E59AC"/>
    <w:rsid w:val="5AA921CC"/>
    <w:rsid w:val="5B7246E1"/>
    <w:rsid w:val="5C3B496D"/>
    <w:rsid w:val="5CB337F7"/>
    <w:rsid w:val="5E541D16"/>
    <w:rsid w:val="5E6662B8"/>
    <w:rsid w:val="5FCD3B2E"/>
    <w:rsid w:val="60BE4BB6"/>
    <w:rsid w:val="60E6386B"/>
    <w:rsid w:val="60FF5DBE"/>
    <w:rsid w:val="614D13CA"/>
    <w:rsid w:val="61F725B7"/>
    <w:rsid w:val="622577E2"/>
    <w:rsid w:val="62910BFD"/>
    <w:rsid w:val="64B522D3"/>
    <w:rsid w:val="64D34688"/>
    <w:rsid w:val="64D8544F"/>
    <w:rsid w:val="65FD7046"/>
    <w:rsid w:val="660224EF"/>
    <w:rsid w:val="667E1DC0"/>
    <w:rsid w:val="68E227B5"/>
    <w:rsid w:val="697940AF"/>
    <w:rsid w:val="6A0C60E1"/>
    <w:rsid w:val="6A65796B"/>
    <w:rsid w:val="6AAC1524"/>
    <w:rsid w:val="6B8A5646"/>
    <w:rsid w:val="6B952216"/>
    <w:rsid w:val="6C11045E"/>
    <w:rsid w:val="6CA55EF2"/>
    <w:rsid w:val="6CCA1B86"/>
    <w:rsid w:val="6D014FD5"/>
    <w:rsid w:val="6D8D0DA1"/>
    <w:rsid w:val="6DD8201C"/>
    <w:rsid w:val="6F9F3145"/>
    <w:rsid w:val="6FAF39C7"/>
    <w:rsid w:val="6FB31FEA"/>
    <w:rsid w:val="71551BD5"/>
    <w:rsid w:val="71E61A45"/>
    <w:rsid w:val="72304A42"/>
    <w:rsid w:val="730B00B7"/>
    <w:rsid w:val="73437865"/>
    <w:rsid w:val="753B55BD"/>
    <w:rsid w:val="76044655"/>
    <w:rsid w:val="760D0993"/>
    <w:rsid w:val="76A57F88"/>
    <w:rsid w:val="78AA0A59"/>
    <w:rsid w:val="796B3B5D"/>
    <w:rsid w:val="79A06B8F"/>
    <w:rsid w:val="79D075C8"/>
    <w:rsid w:val="7A1070EB"/>
    <w:rsid w:val="7B8006E2"/>
    <w:rsid w:val="7C5B0983"/>
    <w:rsid w:val="7CE33636"/>
    <w:rsid w:val="7D80256A"/>
    <w:rsid w:val="7E43548F"/>
    <w:rsid w:val="7FFC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9"/>
    <w:pPr>
      <w:spacing w:afterLines="50" w:line="560" w:lineRule="exact"/>
      <w:jc w:val="center"/>
      <w:outlineLvl w:val="0"/>
    </w:pPr>
    <w:rPr>
      <w:rFonts w:eastAsia="黑体"/>
      <w:bCs/>
      <w:sz w:val="36"/>
      <w:szCs w:val="36"/>
    </w:rPr>
  </w:style>
  <w:style w:type="paragraph" w:styleId="4">
    <w:name w:val="heading 2"/>
    <w:basedOn w:val="1"/>
    <w:next w:val="1"/>
    <w:autoRedefine/>
    <w:qFormat/>
    <w:uiPriority w:val="99"/>
    <w:pPr>
      <w:spacing w:line="640" w:lineRule="exact"/>
      <w:jc w:val="center"/>
      <w:outlineLvl w:val="1"/>
    </w:pPr>
    <w:rPr>
      <w:rFonts w:eastAsia="方正大标宋简体"/>
      <w:bCs/>
      <w:sz w:val="40"/>
      <w:szCs w:val="44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autoRedefine/>
    <w:qFormat/>
    <w:uiPriority w:val="0"/>
    <w:pPr>
      <w:spacing w:line="400" w:lineRule="exact"/>
    </w:pPr>
    <w:rPr>
      <w:sz w:val="24"/>
    </w:rPr>
  </w:style>
  <w:style w:type="paragraph" w:styleId="5">
    <w:name w:val="Normal Indent"/>
    <w:basedOn w:val="1"/>
    <w:autoRedefine/>
    <w:qFormat/>
    <w:uiPriority w:val="0"/>
    <w:pPr>
      <w:ind w:firstLine="420" w:firstLineChars="200"/>
    </w:pPr>
    <w:rPr>
      <w:rFonts w:eastAsia="仿宋_GB2312"/>
      <w:sz w:val="32"/>
    </w:rPr>
  </w:style>
  <w:style w:type="paragraph" w:styleId="6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Message Header"/>
    <w:basedOn w:val="1"/>
    <w:autoRedefine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</w:rPr>
  </w:style>
  <w:style w:type="paragraph" w:styleId="9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列出段落1"/>
    <w:basedOn w:val="1"/>
    <w:autoRedefine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character" w:customStyle="1" w:styleId="13">
    <w:name w:val="font01"/>
    <w:basedOn w:val="11"/>
    <w:autoRedefine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4">
    <w:name w:val="font11"/>
    <w:basedOn w:val="1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37</Pages>
  <Words>8801</Words>
  <Characters>13910</Characters>
  <Lines>0</Lines>
  <Paragraphs>0</Paragraphs>
  <TotalTime>4</TotalTime>
  <ScaleCrop>false</ScaleCrop>
  <LinksUpToDate>false</LinksUpToDate>
  <CharactersWithSpaces>14408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GH</dc:creator>
  <cp:lastModifiedBy>雪中飞舞</cp:lastModifiedBy>
  <cp:lastPrinted>2024-02-06T04:02:00Z</cp:lastPrinted>
  <dcterms:modified xsi:type="dcterms:W3CDTF">2024-02-17T07:12:44Z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6A40A950BC7E4BA7A96108AB56870217_13</vt:lpwstr>
  </property>
</Properties>
</file>