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eastAsia="仿宋_GB2312"/>
          <w:sz w:val="32"/>
          <w:szCs w:val="32"/>
        </w:rPr>
      </w:pPr>
      <w:r>
        <w:rPr>
          <w:rFonts w:hint="eastAsia" w:ascii="仿宋_GB2312" w:eastAsia="仿宋_GB2312"/>
          <w:sz w:val="32"/>
          <w:szCs w:val="32"/>
          <w:lang w:eastAsia="zh-CN"/>
        </w:rPr>
        <w:drawing>
          <wp:anchor distT="0" distB="0" distL="114300" distR="114300" simplePos="0" relativeHeight="251658240" behindDoc="0" locked="0" layoutInCell="1" allowOverlap="1">
            <wp:simplePos x="0" y="0"/>
            <wp:positionH relativeFrom="column">
              <wp:posOffset>-1151255</wp:posOffset>
            </wp:positionH>
            <wp:positionV relativeFrom="paragraph">
              <wp:posOffset>-905510</wp:posOffset>
            </wp:positionV>
            <wp:extent cx="7586980" cy="10657205"/>
            <wp:effectExtent l="0" t="0" r="13970" b="10795"/>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5"/>
                    <a:stretch>
                      <a:fillRect/>
                    </a:stretch>
                  </pic:blipFill>
                  <pic:spPr>
                    <a:xfrm>
                      <a:off x="0" y="0"/>
                      <a:ext cx="7586980" cy="10657205"/>
                    </a:xfrm>
                    <a:prstGeom prst="rect">
                      <a:avLst/>
                    </a:prstGeom>
                  </pic:spPr>
                </pic:pic>
              </a:graphicData>
            </a:graphic>
          </wp:anchor>
        </w:drawing>
      </w:r>
    </w:p>
    <w:p>
      <w:pPr>
        <w:rPr>
          <w:rFonts w:hint="eastAsia" w:ascii="仿宋_GB2312" w:eastAsia="仿宋_GB2312"/>
          <w:sz w:val="32"/>
          <w:szCs w:val="32"/>
          <w:lang w:eastAsia="zh-CN"/>
        </w:rPr>
      </w:pPr>
      <w:r>
        <w:rPr>
          <w:rFonts w:ascii="仿宋_GB2312" w:eastAsia="仿宋_GB2312"/>
          <w:sz w:val="32"/>
          <w:szCs w:val="32"/>
        </w:rPr>
        <w:br w:type="page"/>
      </w:r>
    </w:p>
    <w:p>
      <w:pPr>
        <w:rPr>
          <w:rFonts w:ascii="仿宋_GB2312" w:eastAsia="仿宋_GB2312"/>
          <w:sz w:val="32"/>
          <w:szCs w:val="32"/>
        </w:rPr>
      </w:pPr>
      <w:bookmarkStart w:id="8" w:name="_GoBack"/>
      <w:r>
        <w:rPr>
          <w:rFonts w:hint="eastAsia" w:ascii="仿宋_GB2312" w:eastAsia="仿宋_GB2312"/>
          <w:sz w:val="32"/>
          <w:szCs w:val="32"/>
          <w:lang w:eastAsia="zh-CN"/>
        </w:rPr>
        <w:drawing>
          <wp:anchor distT="0" distB="0" distL="114300" distR="114300" simplePos="0" relativeHeight="251659264" behindDoc="0" locked="0" layoutInCell="1" allowOverlap="1">
            <wp:simplePos x="0" y="0"/>
            <wp:positionH relativeFrom="column">
              <wp:posOffset>-1158875</wp:posOffset>
            </wp:positionH>
            <wp:positionV relativeFrom="paragraph">
              <wp:posOffset>-923925</wp:posOffset>
            </wp:positionV>
            <wp:extent cx="7588885" cy="10704830"/>
            <wp:effectExtent l="0" t="0" r="12065" b="1270"/>
            <wp:wrapNone/>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6"/>
                    <a:stretch>
                      <a:fillRect/>
                    </a:stretch>
                  </pic:blipFill>
                  <pic:spPr>
                    <a:xfrm>
                      <a:off x="0" y="0"/>
                      <a:ext cx="7588885" cy="10704830"/>
                    </a:xfrm>
                    <a:prstGeom prst="rect">
                      <a:avLst/>
                    </a:prstGeom>
                  </pic:spPr>
                </pic:pic>
              </a:graphicData>
            </a:graphic>
          </wp:anchor>
        </w:drawing>
      </w:r>
      <w:bookmarkEnd w:id="8"/>
    </w:p>
    <w:p>
      <w:pPr>
        <w:rPr>
          <w:rFonts w:ascii="仿宋_GB2312" w:eastAsia="仿宋_GB2312"/>
          <w:sz w:val="32"/>
          <w:szCs w:val="32"/>
        </w:rPr>
      </w:pPr>
    </w:p>
    <w:p>
      <w:pPr>
        <w:rPr>
          <w:rFonts w:hint="eastAsia" w:ascii="仿宋_GB2312" w:eastAsia="仿宋_GB2312"/>
          <w:sz w:val="32"/>
          <w:szCs w:val="32"/>
          <w:lang w:eastAsia="zh-CN"/>
        </w:rPr>
      </w:pPr>
    </w:p>
    <w:p>
      <w:pPr>
        <w:rPr>
          <w:rFonts w:ascii="仿宋_GB2312" w:eastAsia="仿宋_GB2312"/>
          <w:sz w:val="32"/>
          <w:szCs w:val="32"/>
        </w:rPr>
      </w:pPr>
    </w:p>
    <w:p>
      <w:pPr>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 </w:t>
      </w:r>
    </w:p>
    <w:p>
      <w:pPr>
        <w:rPr>
          <w:rFonts w:hint="eastAsia" w:ascii="仿宋_GB2312" w:eastAsia="仿宋_GB2312"/>
          <w:sz w:val="32"/>
          <w:szCs w:val="32"/>
          <w:lang w:val="en-US" w:eastAsia="zh-CN"/>
        </w:rPr>
      </w:pPr>
    </w:p>
    <w:p>
      <w:pPr>
        <w:ind w:firstLine="640" w:firstLineChars="200"/>
        <w:rPr>
          <w:rFonts w:hint="eastAsia" w:ascii="黑体" w:hAnsi="黑体" w:eastAsia="黑体"/>
          <w:sz w:val="32"/>
          <w:szCs w:val="32"/>
        </w:rPr>
      </w:pPr>
    </w:p>
    <w:p>
      <w:pPr>
        <w:ind w:firstLine="640" w:firstLineChars="200"/>
        <w:rPr>
          <w:rFonts w:hint="eastAsia" w:ascii="黑体" w:hAnsi="黑体" w:eastAsia="黑体"/>
          <w:sz w:val="32"/>
          <w:szCs w:val="32"/>
        </w:rPr>
      </w:pPr>
    </w:p>
    <w:p>
      <w:pPr>
        <w:ind w:firstLine="640" w:firstLineChars="200"/>
        <w:rPr>
          <w:rFonts w:hint="eastAsia" w:ascii="黑体" w:hAnsi="黑体" w:eastAsia="黑体"/>
          <w:sz w:val="32"/>
          <w:szCs w:val="32"/>
        </w:rPr>
      </w:pPr>
    </w:p>
    <w:p>
      <w:pPr>
        <w:ind w:firstLine="640" w:firstLineChars="200"/>
        <w:rPr>
          <w:rFonts w:hint="eastAsia" w:ascii="黑体" w:hAnsi="黑体" w:eastAsia="黑体"/>
          <w:sz w:val="32"/>
          <w:szCs w:val="32"/>
        </w:rPr>
      </w:pPr>
    </w:p>
    <w:p>
      <w:pPr>
        <w:ind w:firstLine="640" w:firstLineChars="200"/>
        <w:rPr>
          <w:rFonts w:hint="eastAsia" w:ascii="黑体" w:hAnsi="黑体" w:eastAsia="黑体"/>
          <w:sz w:val="32"/>
          <w:szCs w:val="32"/>
        </w:rPr>
      </w:pPr>
    </w:p>
    <w:p>
      <w:pPr>
        <w:ind w:firstLine="640" w:firstLineChars="200"/>
        <w:rPr>
          <w:rFonts w:hint="eastAsia" w:ascii="黑体" w:hAnsi="黑体" w:eastAsia="黑体"/>
          <w:sz w:val="32"/>
          <w:szCs w:val="32"/>
        </w:rPr>
      </w:pPr>
    </w:p>
    <w:p>
      <w:pPr>
        <w:ind w:firstLine="640" w:firstLineChars="200"/>
        <w:rPr>
          <w:rFonts w:hint="eastAsia" w:ascii="黑体" w:hAnsi="黑体" w:eastAsia="黑体"/>
          <w:sz w:val="32"/>
          <w:szCs w:val="32"/>
        </w:rPr>
      </w:pPr>
    </w:p>
    <w:p>
      <w:pPr>
        <w:ind w:firstLine="640" w:firstLineChars="200"/>
        <w:rPr>
          <w:rFonts w:hint="eastAsia" w:ascii="黑体" w:hAnsi="黑体" w:eastAsia="黑体"/>
          <w:sz w:val="32"/>
          <w:szCs w:val="32"/>
        </w:rPr>
      </w:pPr>
    </w:p>
    <w:p>
      <w:pPr>
        <w:ind w:firstLine="640" w:firstLineChars="200"/>
        <w:rPr>
          <w:rFonts w:hint="eastAsia" w:ascii="黑体" w:hAnsi="黑体" w:eastAsia="黑体"/>
          <w:sz w:val="32"/>
          <w:szCs w:val="32"/>
        </w:rPr>
      </w:pPr>
    </w:p>
    <w:p>
      <w:pPr>
        <w:ind w:firstLine="640" w:firstLineChars="200"/>
        <w:rPr>
          <w:rFonts w:hint="eastAsia" w:ascii="黑体" w:hAnsi="黑体" w:eastAsia="黑体"/>
          <w:sz w:val="32"/>
          <w:szCs w:val="32"/>
        </w:rPr>
      </w:pPr>
    </w:p>
    <w:p>
      <w:pPr>
        <w:ind w:firstLine="640" w:firstLineChars="200"/>
        <w:rPr>
          <w:rFonts w:hint="eastAsia" w:ascii="黑体" w:hAnsi="黑体" w:eastAsia="黑体"/>
          <w:sz w:val="32"/>
          <w:szCs w:val="32"/>
        </w:rPr>
      </w:pPr>
    </w:p>
    <w:p>
      <w:pPr>
        <w:ind w:firstLine="640" w:firstLineChars="200"/>
        <w:rPr>
          <w:rFonts w:hint="eastAsia" w:ascii="黑体" w:hAnsi="黑体" w:eastAsia="黑体"/>
          <w:sz w:val="32"/>
          <w:szCs w:val="32"/>
        </w:rPr>
      </w:pPr>
    </w:p>
    <w:p>
      <w:pPr>
        <w:ind w:firstLine="640" w:firstLineChars="200"/>
        <w:rPr>
          <w:rFonts w:hint="eastAsia" w:ascii="黑体" w:hAnsi="黑体" w:eastAsia="黑体"/>
          <w:sz w:val="32"/>
          <w:szCs w:val="32"/>
        </w:rPr>
      </w:pPr>
    </w:p>
    <w:p>
      <w:pPr>
        <w:ind w:firstLine="640" w:firstLineChars="200"/>
        <w:rPr>
          <w:rFonts w:hint="eastAsia" w:ascii="黑体" w:hAnsi="黑体" w:eastAsia="黑体"/>
          <w:sz w:val="32"/>
          <w:szCs w:val="32"/>
        </w:rPr>
      </w:pPr>
    </w:p>
    <w:p>
      <w:pPr>
        <w:ind w:firstLine="640" w:firstLineChars="200"/>
        <w:rPr>
          <w:rFonts w:hint="eastAsia" w:ascii="黑体" w:hAnsi="黑体" w:eastAsia="黑体"/>
          <w:sz w:val="32"/>
          <w:szCs w:val="32"/>
        </w:rPr>
      </w:pPr>
    </w:p>
    <w:p>
      <w:pPr>
        <w:rPr>
          <w:rFonts w:hint="eastAsia" w:ascii="黑体" w:hAnsi="黑体" w:eastAsia="黑体"/>
          <w:sz w:val="32"/>
          <w:szCs w:val="32"/>
          <w:lang w:val="en-US" w:eastAsia="zh-CN"/>
        </w:rPr>
      </w:pPr>
    </w:p>
    <w:p>
      <w:pPr>
        <w:rPr>
          <w:rFonts w:hint="default" w:ascii="黑体" w:hAnsi="黑体" w:eastAsia="黑体"/>
          <w:sz w:val="32"/>
          <w:szCs w:val="32"/>
          <w:lang w:val="en-US" w:eastAsia="zh-CN"/>
        </w:rPr>
      </w:pPr>
      <w:r>
        <w:rPr>
          <w:rFonts w:hint="eastAsia" w:ascii="黑体" w:hAnsi="黑体" w:eastAsia="黑体"/>
          <w:sz w:val="32"/>
          <w:szCs w:val="32"/>
          <w:lang w:val="en-US" w:eastAsia="zh-CN"/>
        </w:rPr>
        <w:t>附件1</w:t>
      </w:r>
    </w:p>
    <w:p>
      <w:pPr>
        <w:ind w:firstLine="880" w:firstLineChars="200"/>
        <w:rPr>
          <w:rFonts w:hint="eastAsia" w:ascii="方正大标宋简体" w:eastAsia="方正大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2640" w:firstLineChars="600"/>
        <w:jc w:val="both"/>
        <w:textAlignment w:val="auto"/>
        <w:rPr>
          <w:rFonts w:hint="eastAsia" w:ascii="方正大标宋简体" w:eastAsia="方正大标宋简体"/>
          <w:sz w:val="44"/>
          <w:szCs w:val="44"/>
          <w:lang w:val="en-US" w:eastAsia="zh-CN"/>
        </w:rPr>
      </w:pPr>
      <w:r>
        <w:rPr>
          <w:rFonts w:hint="eastAsia" w:ascii="方正大标宋简体" w:eastAsia="方正大标宋简体"/>
          <w:sz w:val="44"/>
          <w:szCs w:val="44"/>
          <w:lang w:val="en-US" w:eastAsia="zh-CN"/>
        </w:rPr>
        <w:t>三门峡市财政局</w:t>
      </w:r>
    </w:p>
    <w:p>
      <w:pPr>
        <w:keepNext w:val="0"/>
        <w:keepLines w:val="0"/>
        <w:pageBreakBefore w:val="0"/>
        <w:widowControl w:val="0"/>
        <w:kinsoku/>
        <w:wordWrap/>
        <w:overflowPunct/>
        <w:topLinePunct w:val="0"/>
        <w:autoSpaceDE/>
        <w:autoSpaceDN/>
        <w:bidi w:val="0"/>
        <w:adjustRightInd/>
        <w:snapToGrid/>
        <w:spacing w:line="680" w:lineRule="exact"/>
        <w:ind w:firstLine="1760" w:firstLineChars="400"/>
        <w:jc w:val="both"/>
        <w:textAlignment w:val="auto"/>
        <w:rPr>
          <w:rFonts w:hint="eastAsia" w:ascii="黑体" w:hAnsi="黑体" w:eastAsia="黑体"/>
          <w:sz w:val="32"/>
          <w:szCs w:val="32"/>
        </w:rPr>
      </w:pPr>
      <w:r>
        <w:rPr>
          <w:rFonts w:hint="eastAsia" w:ascii="方正大标宋简体" w:eastAsia="方正大标宋简体"/>
          <w:sz w:val="44"/>
          <w:szCs w:val="44"/>
        </w:rPr>
        <w:t>数字财政建设工作</w:t>
      </w:r>
      <w:r>
        <w:rPr>
          <w:rFonts w:hint="eastAsia" w:ascii="方正大标宋简体" w:eastAsia="方正大标宋简体"/>
          <w:sz w:val="44"/>
          <w:szCs w:val="44"/>
          <w:lang w:val="en-US" w:eastAsia="zh-CN"/>
        </w:rPr>
        <w:t>领导小组</w:t>
      </w:r>
    </w:p>
    <w:p>
      <w:pPr>
        <w:ind w:firstLine="640" w:firstLineChars="200"/>
        <w:rPr>
          <w:rFonts w:hint="eastAsia" w:ascii="黑体" w:hAnsi="黑体" w:eastAsia="黑体"/>
          <w:sz w:val="32"/>
          <w:szCs w:val="32"/>
        </w:rPr>
      </w:pPr>
    </w:p>
    <w:p>
      <w:pPr>
        <w:ind w:firstLine="640" w:firstLineChars="200"/>
        <w:rPr>
          <w:rFonts w:hint="eastAsia" w:ascii="黑体" w:hAnsi="黑体" w:eastAsia="黑体"/>
          <w:sz w:val="32"/>
          <w:szCs w:val="32"/>
          <w:lang w:eastAsia="zh-CN"/>
        </w:rPr>
      </w:pPr>
      <w:r>
        <w:rPr>
          <w:rFonts w:hint="eastAsia" w:ascii="黑体" w:hAnsi="黑体" w:eastAsia="黑体"/>
          <w:sz w:val="32"/>
          <w:szCs w:val="32"/>
        </w:rPr>
        <w:t>一、数字财政建设工作</w:t>
      </w:r>
      <w:r>
        <w:rPr>
          <w:rFonts w:hint="eastAsia" w:ascii="黑体" w:hAnsi="黑体" w:eastAsia="黑体"/>
          <w:sz w:val="32"/>
          <w:szCs w:val="32"/>
          <w:lang w:val="en-US" w:eastAsia="zh-CN"/>
        </w:rPr>
        <w:t>领导小组</w:t>
      </w:r>
    </w:p>
    <w:p>
      <w:pPr>
        <w:ind w:firstLine="640" w:firstLineChars="200"/>
        <w:rPr>
          <w:rFonts w:ascii="仿宋_GB2312" w:eastAsia="仿宋_GB2312"/>
          <w:sz w:val="32"/>
          <w:szCs w:val="32"/>
        </w:rPr>
      </w:pPr>
      <w:r>
        <w:rPr>
          <w:rFonts w:hint="eastAsia" w:ascii="仿宋_GB2312" w:eastAsia="仿宋_GB2312"/>
          <w:sz w:val="32"/>
          <w:szCs w:val="32"/>
        </w:rPr>
        <w:t>组  长：翟海燕  局党组书记、局</w:t>
      </w:r>
      <w:r>
        <w:rPr>
          <w:rFonts w:hint="eastAsia" w:ascii="仿宋_GB2312" w:eastAsia="仿宋_GB2312"/>
          <w:sz w:val="32"/>
          <w:szCs w:val="32"/>
          <w:lang w:val="en-US" w:eastAsia="zh-CN"/>
        </w:rPr>
        <w:t xml:space="preserve">  </w:t>
      </w:r>
      <w:r>
        <w:rPr>
          <w:rFonts w:hint="eastAsia" w:ascii="仿宋_GB2312" w:eastAsia="仿宋_GB2312"/>
          <w:sz w:val="32"/>
          <w:szCs w:val="32"/>
        </w:rPr>
        <w:t>长</w:t>
      </w:r>
    </w:p>
    <w:p>
      <w:pPr>
        <w:ind w:firstLine="640" w:firstLineChars="200"/>
        <w:rPr>
          <w:rFonts w:hint="eastAsia" w:ascii="仿宋_GB2312" w:eastAsia="仿宋_GB2312"/>
          <w:sz w:val="32"/>
          <w:szCs w:val="32"/>
          <w:lang w:val="en-US" w:eastAsia="zh-CN"/>
        </w:rPr>
      </w:pPr>
      <w:r>
        <w:rPr>
          <w:rFonts w:hint="eastAsia" w:ascii="仿宋_GB2312" w:eastAsia="仿宋_GB2312"/>
          <w:sz w:val="32"/>
          <w:szCs w:val="32"/>
        </w:rPr>
        <w:t>副组长：</w:t>
      </w:r>
      <w:r>
        <w:rPr>
          <w:rFonts w:hint="eastAsia" w:ascii="仿宋_GB2312" w:eastAsia="仿宋_GB2312"/>
          <w:sz w:val="32"/>
          <w:szCs w:val="32"/>
          <w:lang w:val="en-US" w:eastAsia="zh-CN"/>
        </w:rPr>
        <w:t xml:space="preserve">程明波  </w:t>
      </w:r>
      <w:r>
        <w:rPr>
          <w:rFonts w:hint="eastAsia" w:ascii="仿宋_GB2312" w:eastAsia="仿宋_GB2312"/>
          <w:sz w:val="32"/>
          <w:szCs w:val="32"/>
        </w:rPr>
        <w:t>局党组成员、</w:t>
      </w:r>
      <w:r>
        <w:rPr>
          <w:rFonts w:hint="eastAsia" w:ascii="仿宋_GB2312" w:eastAsia="仿宋_GB2312"/>
          <w:sz w:val="32"/>
          <w:szCs w:val="32"/>
          <w:lang w:val="en-US" w:eastAsia="zh-CN"/>
        </w:rPr>
        <w:t>副局长</w:t>
      </w:r>
    </w:p>
    <w:p>
      <w:pPr>
        <w:ind w:firstLine="1920" w:firstLineChars="600"/>
        <w:rPr>
          <w:rFonts w:hint="eastAsia" w:ascii="仿宋_GB2312" w:eastAsia="仿宋_GB2312"/>
          <w:sz w:val="32"/>
          <w:szCs w:val="32"/>
          <w:lang w:val="en-US" w:eastAsia="zh-CN"/>
        </w:rPr>
      </w:pPr>
      <w:r>
        <w:rPr>
          <w:rFonts w:hint="eastAsia" w:ascii="仿宋_GB2312" w:eastAsia="仿宋_GB2312"/>
          <w:sz w:val="32"/>
          <w:szCs w:val="32"/>
          <w:lang w:val="en-US" w:eastAsia="zh-CN"/>
        </w:rPr>
        <w:t>李清凌</w:t>
      </w:r>
      <w:r>
        <w:rPr>
          <w:rFonts w:hint="eastAsia" w:ascii="仿宋_GB2312" w:eastAsia="仿宋_GB2312"/>
          <w:sz w:val="32"/>
          <w:szCs w:val="32"/>
        </w:rPr>
        <w:t xml:space="preserve">  局党组成员、</w:t>
      </w:r>
      <w:r>
        <w:rPr>
          <w:rFonts w:hint="eastAsia" w:ascii="仿宋_GB2312" w:eastAsia="仿宋_GB2312"/>
          <w:sz w:val="32"/>
          <w:szCs w:val="32"/>
          <w:lang w:val="en-US" w:eastAsia="zh-CN"/>
        </w:rPr>
        <w:t>副局长</w:t>
      </w:r>
    </w:p>
    <w:p>
      <w:pPr>
        <w:ind w:firstLine="1920" w:firstLineChars="600"/>
        <w:rPr>
          <w:rFonts w:hint="eastAsia" w:ascii="仿宋_GB2312" w:eastAsia="仿宋_GB2312"/>
          <w:sz w:val="32"/>
          <w:szCs w:val="32"/>
        </w:rPr>
      </w:pPr>
      <w:r>
        <w:rPr>
          <w:rFonts w:hint="eastAsia" w:ascii="仿宋_GB2312" w:eastAsia="仿宋_GB2312"/>
          <w:sz w:val="32"/>
          <w:szCs w:val="32"/>
          <w:lang w:val="en-US" w:eastAsia="zh-CN"/>
        </w:rPr>
        <w:t xml:space="preserve">张  翀  </w:t>
      </w:r>
      <w:r>
        <w:rPr>
          <w:rFonts w:hint="eastAsia" w:ascii="仿宋_GB2312" w:eastAsia="仿宋_GB2312"/>
          <w:sz w:val="32"/>
          <w:szCs w:val="32"/>
        </w:rPr>
        <w:t>局党组成员、</w:t>
      </w:r>
      <w:r>
        <w:rPr>
          <w:rFonts w:hint="eastAsia" w:ascii="仿宋_GB2312" w:eastAsia="仿宋_GB2312"/>
          <w:sz w:val="32"/>
          <w:szCs w:val="32"/>
          <w:lang w:val="en-US" w:eastAsia="zh-CN"/>
        </w:rPr>
        <w:t>副局长</w:t>
      </w:r>
    </w:p>
    <w:p>
      <w:pPr>
        <w:ind w:firstLine="640" w:firstLineChars="200"/>
        <w:rPr>
          <w:rFonts w:ascii="仿宋_GB2312" w:eastAsia="仿宋_GB2312"/>
          <w:sz w:val="32"/>
          <w:szCs w:val="32"/>
        </w:rPr>
      </w:pPr>
      <w:r>
        <w:rPr>
          <w:rFonts w:hint="eastAsia" w:ascii="仿宋_GB2312" w:eastAsia="仿宋_GB2312"/>
          <w:sz w:val="32"/>
          <w:szCs w:val="32"/>
        </w:rPr>
        <w:t>成  员：局各科室（单位）负责人、各县（市、区）财政局负责人</w:t>
      </w:r>
    </w:p>
    <w:p>
      <w:pPr>
        <w:ind w:firstLine="640" w:firstLineChars="200"/>
        <w:rPr>
          <w:rFonts w:hint="eastAsia" w:ascii="仿宋_GB2312" w:eastAsia="仿宋_GB2312"/>
          <w:sz w:val="32"/>
          <w:szCs w:val="32"/>
          <w:lang w:eastAsia="zh-CN"/>
        </w:rPr>
      </w:pPr>
      <w:r>
        <w:rPr>
          <w:rFonts w:hint="eastAsia" w:ascii="仿宋_GB2312" w:eastAsia="仿宋_GB2312"/>
          <w:sz w:val="32"/>
          <w:szCs w:val="32"/>
        </w:rPr>
        <w:t>工作</w:t>
      </w:r>
      <w:r>
        <w:rPr>
          <w:rFonts w:hint="eastAsia" w:ascii="仿宋_GB2312" w:eastAsia="仿宋_GB2312"/>
          <w:sz w:val="32"/>
          <w:szCs w:val="32"/>
          <w:lang w:val="en-US" w:eastAsia="zh-CN"/>
        </w:rPr>
        <w:t>领导小组</w:t>
      </w:r>
      <w:r>
        <w:rPr>
          <w:rFonts w:hint="eastAsia" w:ascii="仿宋_GB2312" w:eastAsia="仿宋_GB2312"/>
          <w:sz w:val="32"/>
          <w:szCs w:val="32"/>
        </w:rPr>
        <w:t>由局党组书记、局长翟海燕任</w:t>
      </w:r>
      <w:r>
        <w:rPr>
          <w:rFonts w:hint="eastAsia" w:ascii="仿宋_GB2312" w:eastAsia="仿宋_GB2312"/>
          <w:sz w:val="32"/>
          <w:szCs w:val="32"/>
          <w:lang w:val="en-US" w:eastAsia="zh-CN"/>
        </w:rPr>
        <w:t>组长</w:t>
      </w:r>
      <w:r>
        <w:rPr>
          <w:rFonts w:hint="eastAsia" w:ascii="仿宋_GB2312" w:eastAsia="仿宋_GB2312"/>
          <w:sz w:val="32"/>
          <w:szCs w:val="32"/>
        </w:rPr>
        <w:t>，局党组成员、副局长</w:t>
      </w:r>
      <w:r>
        <w:rPr>
          <w:rFonts w:hint="eastAsia" w:ascii="仿宋_GB2312" w:eastAsia="仿宋_GB2312"/>
          <w:sz w:val="32"/>
          <w:szCs w:val="32"/>
          <w:lang w:val="en-US" w:eastAsia="zh-CN"/>
        </w:rPr>
        <w:t>程明波、李清凌、张翀</w:t>
      </w:r>
      <w:r>
        <w:rPr>
          <w:rFonts w:hint="eastAsia" w:ascii="仿宋_GB2312" w:eastAsia="仿宋_GB2312"/>
          <w:sz w:val="32"/>
          <w:szCs w:val="32"/>
        </w:rPr>
        <w:t>任</w:t>
      </w:r>
      <w:r>
        <w:rPr>
          <w:rFonts w:hint="eastAsia" w:ascii="仿宋_GB2312" w:eastAsia="仿宋_GB2312"/>
          <w:sz w:val="32"/>
          <w:szCs w:val="32"/>
          <w:lang w:val="en-US" w:eastAsia="zh-CN"/>
        </w:rPr>
        <w:t>副组长</w:t>
      </w:r>
      <w:r>
        <w:rPr>
          <w:rFonts w:hint="eastAsia" w:ascii="仿宋_GB2312" w:eastAsia="仿宋_GB2312"/>
          <w:sz w:val="32"/>
          <w:szCs w:val="32"/>
        </w:rPr>
        <w:t>。工作</w:t>
      </w:r>
      <w:r>
        <w:rPr>
          <w:rFonts w:hint="eastAsia" w:ascii="仿宋_GB2312" w:eastAsia="仿宋_GB2312"/>
          <w:sz w:val="32"/>
          <w:szCs w:val="32"/>
          <w:lang w:val="en-US" w:eastAsia="zh-CN"/>
        </w:rPr>
        <w:t>领导小组</w:t>
      </w:r>
      <w:r>
        <w:rPr>
          <w:rFonts w:hint="eastAsia" w:ascii="仿宋_GB2312" w:eastAsia="仿宋_GB2312"/>
          <w:sz w:val="32"/>
          <w:szCs w:val="32"/>
        </w:rPr>
        <w:t>下设办公室，</w:t>
      </w:r>
      <w:r>
        <w:rPr>
          <w:rFonts w:hint="eastAsia" w:ascii="仿宋_GB2312" w:eastAsia="仿宋_GB2312"/>
          <w:sz w:val="32"/>
          <w:szCs w:val="32"/>
          <w:lang w:val="en-US" w:eastAsia="zh-CN"/>
        </w:rPr>
        <w:t>办公室设在市</w:t>
      </w:r>
      <w:r>
        <w:rPr>
          <w:rFonts w:hint="eastAsia" w:ascii="仿宋_GB2312" w:hAnsi="仿宋_GB2312" w:eastAsia="仿宋_GB2312" w:cs="仿宋_GB2312"/>
          <w:sz w:val="32"/>
          <w:szCs w:val="32"/>
          <w:lang w:val="en-US" w:eastAsia="zh-CN"/>
        </w:rPr>
        <w:t>财政局市政府和社会资本合作管理中心</w:t>
      </w:r>
      <w:r>
        <w:rPr>
          <w:rFonts w:hint="eastAsia" w:ascii="仿宋_GB2312" w:eastAsia="仿宋_GB2312"/>
          <w:sz w:val="32"/>
          <w:szCs w:val="32"/>
          <w:lang w:val="en-US" w:eastAsia="zh-CN"/>
        </w:rPr>
        <w:t>，</w:t>
      </w:r>
      <w:r>
        <w:rPr>
          <w:rFonts w:hint="eastAsia" w:ascii="仿宋_GB2312" w:eastAsia="仿宋_GB2312"/>
          <w:sz w:val="32"/>
          <w:szCs w:val="32"/>
        </w:rPr>
        <w:t>办公室主任由局党组成员、副局长</w:t>
      </w:r>
      <w:r>
        <w:rPr>
          <w:rFonts w:hint="eastAsia" w:ascii="仿宋_GB2312" w:eastAsia="仿宋_GB2312"/>
          <w:sz w:val="32"/>
          <w:szCs w:val="32"/>
          <w:lang w:val="en-US" w:eastAsia="zh-CN"/>
        </w:rPr>
        <w:t>李清凌</w:t>
      </w:r>
      <w:r>
        <w:rPr>
          <w:rFonts w:hint="eastAsia" w:ascii="仿宋_GB2312" w:eastAsia="仿宋_GB2312"/>
          <w:sz w:val="32"/>
          <w:szCs w:val="32"/>
        </w:rPr>
        <w:t>兼任，办公室成员</w:t>
      </w:r>
      <w:r>
        <w:rPr>
          <w:rFonts w:hint="eastAsia" w:ascii="仿宋_GB2312" w:eastAsia="仿宋_GB2312"/>
          <w:sz w:val="32"/>
          <w:szCs w:val="32"/>
          <w:lang w:val="en-US" w:eastAsia="zh-CN"/>
        </w:rPr>
        <w:t>李强</w:t>
      </w:r>
      <w:r>
        <w:rPr>
          <w:rFonts w:hint="eastAsia" w:ascii="仿宋_GB2312" w:eastAsia="仿宋_GB2312"/>
          <w:sz w:val="32"/>
          <w:szCs w:val="32"/>
        </w:rPr>
        <w:t>、赵晋萍、</w:t>
      </w:r>
      <w:r>
        <w:rPr>
          <w:rFonts w:hint="eastAsia" w:ascii="仿宋_GB2312" w:eastAsia="仿宋_GB2312"/>
          <w:sz w:val="32"/>
          <w:szCs w:val="32"/>
          <w:lang w:val="en-US" w:eastAsia="zh-CN"/>
        </w:rPr>
        <w:t>张万强、</w:t>
      </w:r>
      <w:r>
        <w:rPr>
          <w:rFonts w:hint="eastAsia" w:ascii="仿宋_GB2312" w:eastAsia="仿宋_GB2312"/>
          <w:sz w:val="32"/>
          <w:szCs w:val="32"/>
        </w:rPr>
        <w:t>王永刚</w:t>
      </w:r>
      <w:r>
        <w:rPr>
          <w:rFonts w:hint="eastAsia" w:ascii="仿宋_GB2312" w:eastAsia="仿宋_GB2312"/>
          <w:sz w:val="32"/>
          <w:szCs w:val="32"/>
          <w:lang w:eastAsia="zh-CN"/>
        </w:rPr>
        <w:t>、</w:t>
      </w:r>
      <w:r>
        <w:rPr>
          <w:rFonts w:hint="eastAsia" w:ascii="仿宋_GB2312" w:eastAsia="仿宋_GB2312"/>
          <w:sz w:val="32"/>
          <w:szCs w:val="32"/>
          <w:lang w:val="en-US" w:eastAsia="zh-CN"/>
        </w:rPr>
        <w:t>张路、高琳娜、李珍珍</w:t>
      </w:r>
      <w:r>
        <w:rPr>
          <w:rFonts w:hint="eastAsia" w:ascii="仿宋_GB2312" w:eastAsia="仿宋_GB2312"/>
          <w:sz w:val="32"/>
          <w:szCs w:val="32"/>
          <w:lang w:eastAsia="zh-CN"/>
        </w:rPr>
        <w:t>。</w:t>
      </w:r>
    </w:p>
    <w:p>
      <w:pPr>
        <w:ind w:firstLine="640" w:firstLineChars="200"/>
        <w:rPr>
          <w:rFonts w:hint="eastAsia" w:ascii="黑体" w:hAnsi="黑体" w:eastAsia="黑体"/>
          <w:sz w:val="32"/>
          <w:szCs w:val="32"/>
        </w:rPr>
      </w:pPr>
      <w:r>
        <w:rPr>
          <w:rFonts w:hint="eastAsia" w:ascii="仿宋_GB2312" w:eastAsia="仿宋_GB2312"/>
          <w:sz w:val="32"/>
          <w:szCs w:val="32"/>
          <w:lang w:val="en-US" w:eastAsia="zh-CN"/>
        </w:rPr>
        <w:t>办公室日常负责规范全市数字财政工作机制和财政公共数据管理，严格落实网络安全责任制，保障财政数据和网络安全，推进数字财政建设和财政数字化改革，提升全市财政部门治理能力和公共服务水平。</w:t>
      </w:r>
    </w:p>
    <w:p>
      <w:pPr>
        <w:ind w:firstLine="640" w:firstLineChars="200"/>
        <w:rPr>
          <w:rFonts w:ascii="黑体" w:hAnsi="黑体" w:eastAsia="黑体"/>
          <w:sz w:val="32"/>
          <w:szCs w:val="32"/>
        </w:rPr>
      </w:pPr>
      <w:r>
        <w:rPr>
          <w:rFonts w:hint="eastAsia" w:ascii="黑体" w:hAnsi="黑体" w:eastAsia="黑体"/>
          <w:sz w:val="32"/>
          <w:szCs w:val="32"/>
        </w:rPr>
        <w:t>二、局领导联系县（市、区）数字财政建设工作</w:t>
      </w:r>
    </w:p>
    <w:p>
      <w:pPr>
        <w:spacing w:line="580" w:lineRule="exact"/>
        <w:ind w:firstLine="640"/>
        <w:rPr>
          <w:rFonts w:hint="eastAsia" w:ascii="仿宋_GB2312" w:eastAsia="仿宋_GB2312"/>
          <w:sz w:val="32"/>
          <w:szCs w:val="32"/>
          <w:lang w:val="en-US" w:eastAsia="zh-CN"/>
        </w:rPr>
      </w:pPr>
      <w:r>
        <w:rPr>
          <w:rFonts w:hint="eastAsia" w:ascii="仿宋_GB2312" w:eastAsia="仿宋_GB2312"/>
          <w:sz w:val="32"/>
          <w:szCs w:val="32"/>
          <w:lang w:val="en-US" w:eastAsia="zh-CN"/>
        </w:rPr>
        <w:t>第一组:翟海燕</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联系县(市、区):灵宝市、湖滨区、现代服务业开发区 </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责任科室:办公室、预算科、国库科</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第二组:程明波</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联系县(市、区):义马市、开发区</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责任科室:政府债务管理办公室、社会保障科</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第三组:李清凌</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联系县(市、区):卢氏县、陕州区</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责任科室:农业农村二科、企业科</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第四组:张翀</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联系县(市、区):渑池县、城乡一体化示范区</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责任科室:自然资源和生态环境科、非税收入管理科                                 </w:t>
      </w:r>
    </w:p>
    <w:p>
      <w:pPr>
        <w:spacing w:line="580" w:lineRule="exact"/>
        <w:ind w:firstLine="5760" w:firstLineChars="1800"/>
        <w:rPr>
          <w:rFonts w:hint="eastAsia" w:ascii="仿宋_GB2312" w:eastAsia="仿宋_GB2312"/>
          <w:sz w:val="32"/>
          <w:szCs w:val="32"/>
        </w:rPr>
      </w:pPr>
    </w:p>
    <w:p>
      <w:pPr>
        <w:spacing w:line="580" w:lineRule="exact"/>
        <w:ind w:firstLine="5760" w:firstLineChars="1800"/>
        <w:rPr>
          <w:rFonts w:hint="eastAsia" w:ascii="仿宋_GB2312" w:eastAsia="仿宋_GB2312"/>
          <w:sz w:val="32"/>
          <w:szCs w:val="32"/>
        </w:rPr>
      </w:pPr>
    </w:p>
    <w:p>
      <w:pPr>
        <w:spacing w:line="580" w:lineRule="exact"/>
        <w:ind w:firstLine="5760" w:firstLineChars="1800"/>
        <w:rPr>
          <w:rFonts w:hint="eastAsia" w:ascii="仿宋_GB2312" w:eastAsia="仿宋_GB2312"/>
          <w:sz w:val="32"/>
          <w:szCs w:val="32"/>
        </w:rPr>
      </w:pPr>
    </w:p>
    <w:p>
      <w:pPr>
        <w:spacing w:line="580" w:lineRule="exact"/>
        <w:ind w:firstLine="4800" w:firstLineChars="1500"/>
        <w:rPr>
          <w:rFonts w:hint="eastAsia" w:ascii="仿宋_GB2312" w:eastAsia="仿宋_GB2312"/>
          <w:sz w:val="32"/>
          <w:szCs w:val="32"/>
        </w:rPr>
      </w:pPr>
      <w:r>
        <w:rPr>
          <w:rFonts w:hint="eastAsia" w:ascii="仿宋_GB2312" w:eastAsia="仿宋_GB2312"/>
          <w:sz w:val="32"/>
          <w:szCs w:val="32"/>
        </w:rPr>
        <w:t>202</w:t>
      </w:r>
      <w:r>
        <w:rPr>
          <w:rFonts w:hint="eastAsia" w:ascii="仿宋_GB2312" w:eastAsia="仿宋_GB2312"/>
          <w:sz w:val="32"/>
          <w:szCs w:val="32"/>
          <w:lang w:val="en-US" w:eastAsia="zh-CN"/>
        </w:rPr>
        <w:t>4</w:t>
      </w:r>
      <w:r>
        <w:rPr>
          <w:rFonts w:hint="eastAsia" w:ascii="仿宋_GB2312" w:eastAsia="仿宋_GB2312"/>
          <w:sz w:val="32"/>
          <w:szCs w:val="32"/>
        </w:rPr>
        <w:t>年</w:t>
      </w:r>
      <w:r>
        <w:rPr>
          <w:rFonts w:hint="eastAsia" w:ascii="仿宋_GB2312" w:eastAsia="仿宋_GB2312"/>
          <w:sz w:val="32"/>
          <w:szCs w:val="32"/>
          <w:lang w:val="en-US" w:eastAsia="zh-CN"/>
        </w:rPr>
        <w:t>11</w:t>
      </w:r>
      <w:r>
        <w:rPr>
          <w:rFonts w:hint="eastAsia" w:ascii="仿宋_GB2312" w:eastAsia="仿宋_GB2312"/>
          <w:sz w:val="32"/>
          <w:szCs w:val="32"/>
        </w:rPr>
        <w:t>月</w:t>
      </w:r>
      <w:r>
        <w:rPr>
          <w:rFonts w:hint="eastAsia" w:ascii="仿宋_GB2312" w:eastAsia="仿宋_GB2312"/>
          <w:sz w:val="32"/>
          <w:szCs w:val="32"/>
          <w:lang w:val="en-US" w:eastAsia="zh-CN"/>
        </w:rPr>
        <w:t>9</w:t>
      </w:r>
      <w:r>
        <w:rPr>
          <w:rFonts w:hint="eastAsia" w:ascii="仿宋_GB2312" w:eastAsia="仿宋_GB2312"/>
          <w:sz w:val="32"/>
          <w:szCs w:val="32"/>
        </w:rPr>
        <w:t>日</w:t>
      </w:r>
    </w:p>
    <w:p>
      <w:pPr>
        <w:spacing w:line="580" w:lineRule="exact"/>
        <w:rPr>
          <w:rFonts w:hint="eastAsia" w:ascii="仿宋_GB2312" w:eastAsia="仿宋_GB2312"/>
          <w:sz w:val="32"/>
          <w:szCs w:val="32"/>
        </w:rPr>
      </w:pPr>
    </w:p>
    <w:p>
      <w:pPr>
        <w:spacing w:line="580" w:lineRule="exact"/>
        <w:rPr>
          <w:rFonts w:hint="eastAsia" w:ascii="仿宋_GB2312" w:eastAsia="仿宋_GB2312"/>
          <w:sz w:val="32"/>
          <w:szCs w:val="32"/>
        </w:rPr>
      </w:pPr>
    </w:p>
    <w:p>
      <w:pPr>
        <w:spacing w:line="580" w:lineRule="exact"/>
        <w:rPr>
          <w:rFonts w:hint="eastAsia" w:ascii="仿宋_GB2312" w:eastAsia="仿宋_GB2312"/>
          <w:sz w:val="32"/>
          <w:szCs w:val="32"/>
        </w:rPr>
      </w:pPr>
    </w:p>
    <w:p>
      <w:pPr>
        <w:spacing w:line="580" w:lineRule="exact"/>
        <w:rPr>
          <w:rFonts w:hint="eastAsia" w:ascii="仿宋_GB2312" w:eastAsia="仿宋_GB2312"/>
          <w:sz w:val="32"/>
          <w:szCs w:val="32"/>
        </w:rPr>
      </w:pP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both"/>
        <w:textAlignment w:val="auto"/>
        <w:outlineLvl w:val="0"/>
        <w:rPr>
          <w:rFonts w:hint="eastAsia" w:ascii="仿宋_GB2312" w:hAnsi="仿宋_GB2312" w:eastAsia="仿宋_GB2312" w:cs="仿宋_GB2312"/>
          <w:bCs/>
          <w:sz w:val="32"/>
          <w:szCs w:val="32"/>
          <w:lang w:val="en-US" w:eastAsia="zh-CN"/>
        </w:rPr>
      </w:pP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both"/>
        <w:textAlignment w:val="auto"/>
        <w:outlineLvl w:val="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附件2</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440" w:firstLineChars="100"/>
        <w:jc w:val="both"/>
        <w:textAlignment w:val="auto"/>
        <w:outlineLvl w:val="0"/>
        <w:rPr>
          <w:rFonts w:hint="eastAsia" w:ascii="方正大标宋简体" w:hAnsi="方正大标宋简体" w:eastAsia="方正大标宋简体" w:cs="方正大标宋简体"/>
          <w:bCs/>
          <w:sz w:val="44"/>
          <w:szCs w:val="44"/>
          <w:lang w:val="en-US" w:eastAsia="zh-CN"/>
        </w:rPr>
      </w:pP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2640" w:firstLineChars="600"/>
        <w:jc w:val="both"/>
        <w:textAlignment w:val="auto"/>
        <w:outlineLvl w:val="0"/>
        <w:rPr>
          <w:rFonts w:hint="eastAsia" w:ascii="方正大标宋简体" w:hAnsi="方正大标宋简体" w:eastAsia="方正大标宋简体" w:cs="方正大标宋简体"/>
          <w:bCs/>
          <w:sz w:val="44"/>
          <w:szCs w:val="44"/>
          <w:lang w:val="en-US" w:eastAsia="zh-CN"/>
        </w:rPr>
      </w:pPr>
      <w:r>
        <w:rPr>
          <w:rFonts w:hint="eastAsia" w:ascii="方正大标宋简体" w:hAnsi="方正大标宋简体" w:eastAsia="方正大标宋简体" w:cs="方正大标宋简体"/>
          <w:bCs/>
          <w:sz w:val="44"/>
          <w:szCs w:val="44"/>
          <w:lang w:val="en-US" w:eastAsia="zh-CN"/>
        </w:rPr>
        <w:t>三门峡市财政局</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1320" w:firstLineChars="300"/>
        <w:jc w:val="both"/>
        <w:textAlignment w:val="auto"/>
        <w:outlineLvl w:val="0"/>
        <w:rPr>
          <w:rFonts w:hint="eastAsia" w:ascii="仿宋_GB2312" w:hAnsi="仿宋_GB2312" w:eastAsia="仿宋_GB2312" w:cs="仿宋_GB2312"/>
          <w:b/>
          <w:bCs/>
          <w:sz w:val="32"/>
          <w:szCs w:val="32"/>
        </w:rPr>
      </w:pPr>
      <w:r>
        <w:rPr>
          <w:rFonts w:hint="eastAsia" w:ascii="方正大标宋简体" w:hAnsi="方正大标宋简体" w:eastAsia="方正大标宋简体" w:cs="方正大标宋简体"/>
          <w:bCs/>
          <w:sz w:val="44"/>
          <w:szCs w:val="44"/>
          <w:lang w:val="en-US" w:eastAsia="zh-CN"/>
        </w:rPr>
        <w:t>财政信息工作制度暨</w:t>
      </w:r>
      <w:r>
        <w:rPr>
          <w:rFonts w:hint="eastAsia" w:ascii="方正大标宋简体" w:hAnsi="方正大标宋简体" w:eastAsia="方正大标宋简体" w:cs="方正大标宋简体"/>
          <w:bCs/>
          <w:sz w:val="44"/>
          <w:szCs w:val="44"/>
        </w:rPr>
        <w:t>应急预案</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both"/>
        <w:textAlignment w:val="auto"/>
        <w:outlineLvl w:val="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 xml:space="preserve">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2880" w:firstLineChars="900"/>
        <w:jc w:val="both"/>
        <w:textAlignment w:val="auto"/>
        <w:outlineLvl w:val="0"/>
        <w:rPr>
          <w:rFonts w:hint="eastAsia" w:ascii="黑体" w:hAnsi="黑体" w:eastAsia="黑体" w:cs="黑体"/>
          <w:b w:val="0"/>
          <w:bCs w:val="0"/>
          <w:sz w:val="32"/>
          <w:szCs w:val="32"/>
        </w:rPr>
      </w:pPr>
      <w:r>
        <w:rPr>
          <w:rFonts w:hint="eastAsia" w:ascii="黑体" w:hAnsi="黑体" w:eastAsia="黑体" w:cs="黑体"/>
          <w:b w:val="0"/>
          <w:bCs w:val="0"/>
          <w:sz w:val="32"/>
          <w:szCs w:val="32"/>
        </w:rPr>
        <w:t>第一章 总则</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第一条 为妥善应对和处置计算机信息系统突发事件，保障信息系统的正常运行，根据《中华人民共和国计算机信息系统安全保护条例》、《中华人民共和国计算机信息网络国际联网安全保护管理办法》等有关法规文件精神，结合自身实际，特制定本</w:t>
      </w:r>
      <w:r>
        <w:rPr>
          <w:rFonts w:hint="eastAsia" w:ascii="仿宋_GB2312" w:hAnsi="仿宋_GB2312" w:eastAsia="仿宋_GB2312" w:cs="仿宋_GB2312"/>
          <w:sz w:val="32"/>
          <w:szCs w:val="32"/>
          <w:lang w:val="en-US" w:eastAsia="zh-CN"/>
        </w:rPr>
        <w:t>制度和</w:t>
      </w:r>
      <w:r>
        <w:rPr>
          <w:rFonts w:hint="eastAsia" w:ascii="仿宋_GB2312" w:hAnsi="仿宋_GB2312" w:eastAsia="仿宋_GB2312" w:cs="仿宋_GB2312"/>
          <w:sz w:val="32"/>
          <w:szCs w:val="32"/>
        </w:rPr>
        <w:t>应急预案。</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第二条 以维护</w:t>
      </w:r>
      <w:r>
        <w:rPr>
          <w:rFonts w:hint="eastAsia" w:ascii="仿宋_GB2312" w:hAnsi="仿宋_GB2312" w:eastAsia="仿宋_GB2312" w:cs="仿宋_GB2312"/>
          <w:sz w:val="32"/>
          <w:szCs w:val="32"/>
          <w:lang w:eastAsia="zh-CN"/>
        </w:rPr>
        <w:t>三门峡市财政局</w:t>
      </w:r>
      <w:r>
        <w:rPr>
          <w:rFonts w:hint="eastAsia" w:ascii="仿宋_GB2312" w:hAnsi="仿宋_GB2312" w:eastAsia="仿宋_GB2312" w:cs="仿宋_GB2312"/>
          <w:sz w:val="32"/>
          <w:szCs w:val="32"/>
          <w:lang w:val="en-US" w:eastAsia="zh-CN"/>
        </w:rPr>
        <w:t>信息</w:t>
      </w:r>
      <w:r>
        <w:rPr>
          <w:rFonts w:hint="eastAsia" w:ascii="仿宋_GB2312" w:hAnsi="仿宋_GB2312" w:eastAsia="仿宋_GB2312" w:cs="仿宋_GB2312"/>
          <w:sz w:val="32"/>
          <w:szCs w:val="32"/>
        </w:rPr>
        <w:t>系统正常运行为目的，按照“预防为主，快速处置”的原则，进一步完善信息系统管理机制，提高突发事件的应急处置能力。</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rPr>
        <w:t>第二章 领导机构和职责</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 xml:space="preserve">条 </w:t>
      </w:r>
      <w:r>
        <w:rPr>
          <w:rFonts w:hint="eastAsia" w:ascii="仿宋_GB2312" w:hAnsi="仿宋_GB2312" w:eastAsia="仿宋_GB2312" w:cs="仿宋_GB2312"/>
          <w:sz w:val="32"/>
          <w:szCs w:val="32"/>
          <w:lang w:eastAsia="zh-CN"/>
        </w:rPr>
        <w:t>三门峡市财政局</w:t>
      </w:r>
      <w:r>
        <w:rPr>
          <w:rFonts w:hint="eastAsia" w:ascii="仿宋_GB2312" w:hAnsi="仿宋_GB2312" w:eastAsia="仿宋_GB2312" w:cs="仿宋_GB2312"/>
          <w:sz w:val="32"/>
          <w:szCs w:val="32"/>
          <w:lang w:val="en-US" w:eastAsia="zh-CN"/>
        </w:rPr>
        <w:t>数字财政</w:t>
      </w:r>
      <w:r>
        <w:rPr>
          <w:rFonts w:hint="eastAsia" w:ascii="仿宋_GB2312" w:hAnsi="仿宋_GB2312" w:eastAsia="仿宋_GB2312" w:cs="仿宋_GB2312"/>
          <w:sz w:val="32"/>
          <w:szCs w:val="32"/>
        </w:rPr>
        <w:t>工作领导小组（以下简称领导小组）为</w:t>
      </w:r>
      <w:r>
        <w:rPr>
          <w:rFonts w:hint="eastAsia" w:ascii="仿宋_GB2312" w:hAnsi="仿宋_GB2312" w:eastAsia="仿宋_GB2312" w:cs="仿宋_GB2312"/>
          <w:sz w:val="32"/>
          <w:szCs w:val="32"/>
          <w:lang w:val="en-US" w:eastAsia="zh-CN"/>
        </w:rPr>
        <w:t>财政</w:t>
      </w:r>
      <w:r>
        <w:rPr>
          <w:rFonts w:hint="eastAsia" w:ascii="仿宋_GB2312" w:hAnsi="仿宋_GB2312" w:eastAsia="仿宋_GB2312" w:cs="仿宋_GB2312"/>
          <w:sz w:val="32"/>
          <w:szCs w:val="32"/>
        </w:rPr>
        <w:t>信息</w:t>
      </w:r>
      <w:r>
        <w:rPr>
          <w:rFonts w:hint="eastAsia" w:ascii="仿宋_GB2312" w:hAnsi="仿宋_GB2312" w:eastAsia="仿宋_GB2312" w:cs="仿宋_GB2312"/>
          <w:sz w:val="32"/>
          <w:szCs w:val="32"/>
          <w:lang w:val="en-US" w:eastAsia="zh-CN"/>
        </w:rPr>
        <w:t>工作和</w:t>
      </w:r>
      <w:r>
        <w:rPr>
          <w:rFonts w:hint="eastAsia" w:ascii="仿宋_GB2312" w:hAnsi="仿宋_GB2312" w:eastAsia="仿宋_GB2312" w:cs="仿宋_GB2312"/>
          <w:sz w:val="32"/>
          <w:szCs w:val="32"/>
        </w:rPr>
        <w:t>系统事故处理应急领导机构，负责领导、统一协调、组织开展计算机信息系统应急管理工作，紧急处理计算机信息系统重大应急事件和隐患。</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领导小组办公室（设在</w:t>
      </w:r>
      <w:r>
        <w:rPr>
          <w:rFonts w:hint="eastAsia" w:ascii="仿宋_GB2312" w:hAnsi="仿宋_GB2312" w:eastAsia="仿宋_GB2312" w:cs="仿宋_GB2312"/>
          <w:sz w:val="32"/>
          <w:szCs w:val="32"/>
          <w:lang w:val="en-US" w:eastAsia="zh-CN"/>
        </w:rPr>
        <w:t>财政局市政府和社会资本合作管理中心</w:t>
      </w:r>
      <w:r>
        <w:rPr>
          <w:rFonts w:hint="eastAsia" w:ascii="仿宋_GB2312" w:hAnsi="仿宋_GB2312" w:eastAsia="仿宋_GB2312" w:cs="仿宋_GB2312"/>
          <w:sz w:val="32"/>
          <w:szCs w:val="32"/>
        </w:rPr>
        <w:t>）负责</w:t>
      </w:r>
      <w:r>
        <w:rPr>
          <w:rFonts w:hint="eastAsia" w:ascii="仿宋_GB2312" w:hAnsi="仿宋_GB2312" w:eastAsia="仿宋_GB2312" w:cs="仿宋_GB2312"/>
          <w:sz w:val="32"/>
          <w:szCs w:val="32"/>
          <w:lang w:val="en-US" w:eastAsia="zh-CN"/>
        </w:rPr>
        <w:t>财政</w:t>
      </w:r>
      <w:r>
        <w:rPr>
          <w:rFonts w:hint="eastAsia" w:ascii="仿宋_GB2312" w:hAnsi="仿宋_GB2312" w:eastAsia="仿宋_GB2312" w:cs="仿宋_GB2312"/>
          <w:sz w:val="32"/>
          <w:szCs w:val="32"/>
        </w:rPr>
        <w:t>信息</w:t>
      </w:r>
      <w:r>
        <w:rPr>
          <w:rFonts w:hint="eastAsia" w:ascii="仿宋_GB2312" w:hAnsi="仿宋_GB2312" w:eastAsia="仿宋_GB2312" w:cs="仿宋_GB2312"/>
          <w:sz w:val="32"/>
          <w:szCs w:val="32"/>
          <w:lang w:val="en-US" w:eastAsia="zh-CN"/>
        </w:rPr>
        <w:t>工作和</w:t>
      </w:r>
      <w:r>
        <w:rPr>
          <w:rFonts w:hint="eastAsia" w:ascii="仿宋_GB2312" w:hAnsi="仿宋_GB2312" w:eastAsia="仿宋_GB2312" w:cs="仿宋_GB2312"/>
          <w:sz w:val="32"/>
          <w:szCs w:val="32"/>
        </w:rPr>
        <w:t>系统事故应急处理的日常事务，主要工作是：</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1.承担</w:t>
      </w:r>
      <w:r>
        <w:rPr>
          <w:rFonts w:hint="eastAsia" w:ascii="仿宋_GB2312" w:hAnsi="仿宋_GB2312" w:eastAsia="仿宋_GB2312" w:cs="仿宋_GB2312"/>
          <w:sz w:val="32"/>
          <w:szCs w:val="32"/>
          <w:lang w:val="en-US" w:eastAsia="zh-CN"/>
        </w:rPr>
        <w:t>全市财政</w:t>
      </w:r>
      <w:r>
        <w:rPr>
          <w:rFonts w:hint="eastAsia" w:ascii="仿宋_GB2312" w:hAnsi="仿宋_GB2312" w:eastAsia="仿宋_GB2312" w:cs="仿宋_GB2312"/>
          <w:sz w:val="32"/>
          <w:szCs w:val="32"/>
        </w:rPr>
        <w:t>信息</w:t>
      </w:r>
      <w:r>
        <w:rPr>
          <w:rFonts w:hint="eastAsia" w:ascii="仿宋_GB2312" w:hAnsi="仿宋_GB2312" w:eastAsia="仿宋_GB2312" w:cs="仿宋_GB2312"/>
          <w:sz w:val="32"/>
          <w:szCs w:val="32"/>
          <w:lang w:val="en-US" w:eastAsia="zh-CN"/>
        </w:rPr>
        <w:t>工作和</w:t>
      </w:r>
      <w:r>
        <w:rPr>
          <w:rFonts w:hint="eastAsia" w:ascii="仿宋_GB2312" w:hAnsi="仿宋_GB2312" w:eastAsia="仿宋_GB2312" w:cs="仿宋_GB2312"/>
          <w:sz w:val="32"/>
          <w:szCs w:val="32"/>
        </w:rPr>
        <w:t>系统事故应急处理工作，负责全局相关部门的协调联络工作，负责向领导小组提出建议。</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2.发生重大计算机信息系统突发事件时，负责启动本预案，下达应急保障任务，指挥全局应急保障行动，及时向相关部门报告有关情况。</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3.负责</w:t>
      </w:r>
      <w:r>
        <w:rPr>
          <w:rFonts w:hint="eastAsia" w:ascii="仿宋_GB2312" w:hAnsi="仿宋_GB2312" w:eastAsia="仿宋_GB2312" w:cs="仿宋_GB2312"/>
          <w:sz w:val="32"/>
          <w:szCs w:val="32"/>
          <w:lang w:val="en-US" w:eastAsia="zh-CN"/>
        </w:rPr>
        <w:t>制定</w:t>
      </w:r>
      <w:r>
        <w:rPr>
          <w:rFonts w:hint="eastAsia" w:ascii="仿宋_GB2312" w:hAnsi="仿宋_GB2312" w:eastAsia="仿宋_GB2312" w:cs="仿宋_GB2312"/>
          <w:sz w:val="32"/>
          <w:szCs w:val="32"/>
        </w:rPr>
        <w:t>实施各项</w:t>
      </w:r>
      <w:r>
        <w:rPr>
          <w:rFonts w:hint="eastAsia" w:ascii="仿宋_GB2312" w:hAnsi="仿宋_GB2312" w:eastAsia="仿宋_GB2312" w:cs="仿宋_GB2312"/>
          <w:sz w:val="32"/>
          <w:szCs w:val="32"/>
          <w:lang w:val="en-US" w:eastAsia="zh-CN"/>
        </w:rPr>
        <w:t>财政信息工作制度和</w:t>
      </w:r>
      <w:r>
        <w:rPr>
          <w:rFonts w:hint="eastAsia" w:ascii="仿宋_GB2312" w:hAnsi="仿宋_GB2312" w:eastAsia="仿宋_GB2312" w:cs="仿宋_GB2312"/>
          <w:sz w:val="32"/>
          <w:szCs w:val="32"/>
        </w:rPr>
        <w:t>应急措施，定期开展和部署应急预案的演练、培训工作。</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4.根据领导小组下达的命令和指示，负责组织指挥、协调应急保障行动，完成应急保障任务。</w:t>
      </w:r>
    </w:p>
    <w:p>
      <w:pPr>
        <w:spacing w:line="600" w:lineRule="exact"/>
        <w:ind w:firstLine="640"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各县市区财政部门也要成立本部门的数字财政工作领导小组，</w:t>
      </w:r>
      <w:r>
        <w:rPr>
          <w:rFonts w:hint="eastAsia" w:ascii="仿宋_GB2312" w:eastAsia="仿宋_GB2312"/>
          <w:sz w:val="32"/>
          <w:szCs w:val="32"/>
        </w:rPr>
        <w:t>网络与信息安全事故的责任认定</w:t>
      </w:r>
      <w:r>
        <w:rPr>
          <w:rFonts w:hint="eastAsia" w:ascii="仿宋_GB2312" w:eastAsia="仿宋_GB2312"/>
          <w:sz w:val="32"/>
          <w:szCs w:val="32"/>
          <w:lang w:val="en-US" w:eastAsia="zh-CN"/>
        </w:rPr>
        <w:t>严格</w:t>
      </w:r>
      <w:r>
        <w:rPr>
          <w:rFonts w:hint="eastAsia" w:ascii="仿宋_GB2312" w:eastAsia="仿宋_GB2312"/>
          <w:sz w:val="32"/>
          <w:szCs w:val="32"/>
        </w:rPr>
        <w:t>实行“谁主管谁负责、谁使用谁负责”的原则，由</w:t>
      </w:r>
      <w:r>
        <w:rPr>
          <w:rFonts w:hint="eastAsia" w:ascii="仿宋_GB2312" w:eastAsia="仿宋_GB2312"/>
          <w:sz w:val="32"/>
          <w:szCs w:val="32"/>
          <w:lang w:val="en-US" w:eastAsia="zh-CN"/>
        </w:rPr>
        <w:t>各自</w:t>
      </w:r>
      <w:r>
        <w:rPr>
          <w:rFonts w:hint="eastAsia" w:ascii="仿宋_GB2312" w:eastAsia="仿宋_GB2312"/>
          <w:sz w:val="32"/>
          <w:szCs w:val="32"/>
        </w:rPr>
        <w:t>领导小组组织实施</w:t>
      </w:r>
      <w:r>
        <w:rPr>
          <w:rFonts w:hint="eastAsia" w:ascii="仿宋_GB2312" w:eastAsia="仿宋_GB2312"/>
          <w:sz w:val="32"/>
          <w:szCs w:val="32"/>
          <w:lang w:val="en-US" w:eastAsia="zh-CN"/>
        </w:rPr>
        <w:t>并</w:t>
      </w:r>
      <w:r>
        <w:rPr>
          <w:rFonts w:hint="eastAsia" w:ascii="仿宋_GB2312" w:hAnsi="仿宋_GB2312" w:eastAsia="仿宋_GB2312" w:cs="仿宋_GB2312"/>
          <w:sz w:val="32"/>
          <w:szCs w:val="32"/>
          <w:lang w:val="en-US" w:eastAsia="zh-CN"/>
        </w:rPr>
        <w:t>负责指导本地区本部门的</w:t>
      </w:r>
      <w:r>
        <w:rPr>
          <w:rFonts w:hint="eastAsia" w:ascii="仿宋_GB2312" w:hAnsi="仿宋_GB2312" w:eastAsia="仿宋_GB2312" w:cs="仿宋_GB2312"/>
          <w:sz w:val="32"/>
          <w:szCs w:val="32"/>
        </w:rPr>
        <w:t>信息系统应急管理工作</w:t>
      </w:r>
      <w:r>
        <w:rPr>
          <w:rFonts w:hint="eastAsia" w:ascii="仿宋_GB2312" w:hAnsi="仿宋_GB2312" w:eastAsia="仿宋_GB2312" w:cs="仿宋_GB2312"/>
          <w:sz w:val="32"/>
          <w:szCs w:val="32"/>
          <w:lang w:eastAsia="zh-CN"/>
        </w:rPr>
        <w:t>。</w:t>
      </w:r>
    </w:p>
    <w:p>
      <w:pPr>
        <w:ind w:firstLine="2240" w:firstLineChars="7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第三章 应急措施与处理流程</w:t>
      </w:r>
    </w:p>
    <w:p>
      <w:pPr>
        <w:ind w:firstLine="640" w:firstLineChars="200"/>
        <w:rPr>
          <w:rFonts w:ascii="黑体" w:hAnsi="黑体" w:eastAsia="黑体"/>
          <w:sz w:val="32"/>
          <w:szCs w:val="32"/>
        </w:rPr>
      </w:pPr>
      <w:r>
        <w:rPr>
          <w:rFonts w:hint="eastAsia" w:ascii="仿宋_GB2312" w:hAnsi="仿宋_GB2312" w:eastAsia="仿宋_GB2312" w:cs="仿宋_GB2312"/>
          <w:sz w:val="32"/>
          <w:szCs w:val="32"/>
          <w:lang w:val="en-US" w:eastAsia="zh-CN"/>
        </w:rPr>
        <w:t>第四条 加强对各县市区财政干部职工的安全教育和引导，提高防范意识。</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 xml:space="preserve">    第五条 </w:t>
      </w:r>
      <w:r>
        <w:rPr>
          <w:rFonts w:hint="eastAsia" w:ascii="仿宋_GB2312" w:hAnsi="仿宋_GB2312" w:eastAsia="仿宋_GB2312" w:cs="仿宋_GB2312"/>
          <w:sz w:val="32"/>
          <w:szCs w:val="32"/>
        </w:rPr>
        <w:t>拥有独立网站的</w:t>
      </w:r>
      <w:r>
        <w:rPr>
          <w:rFonts w:hint="eastAsia" w:ascii="仿宋_GB2312" w:hAnsi="仿宋_GB2312" w:eastAsia="仿宋_GB2312" w:cs="仿宋_GB2312"/>
          <w:sz w:val="32"/>
          <w:szCs w:val="32"/>
          <w:lang w:eastAsia="zh-CN"/>
        </w:rPr>
        <w:t>各县市区财政</w:t>
      </w:r>
      <w:r>
        <w:rPr>
          <w:rFonts w:hint="eastAsia" w:ascii="仿宋_GB2312" w:hAnsi="仿宋_GB2312" w:eastAsia="仿宋_GB2312" w:cs="仿宋_GB2312"/>
          <w:sz w:val="32"/>
          <w:szCs w:val="32"/>
        </w:rPr>
        <w:t>部门要配备信息审核员和安全管理人员，严格执行计算机日常管理制度，规范专网和外网的管理。</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建立健全重要数据及时备份和灾难性数据恢复机制。严格按照计算机信息网络安全管理规定要求，认真做好日常数据备份工作，以</w:t>
      </w:r>
      <w:r>
        <w:rPr>
          <w:rFonts w:hint="eastAsia" w:ascii="仿宋_GB2312" w:hAnsi="仿宋_GB2312" w:eastAsia="仿宋_GB2312" w:cs="仿宋_GB2312"/>
          <w:sz w:val="32"/>
          <w:szCs w:val="32"/>
          <w:lang w:val="en-US" w:eastAsia="zh-CN"/>
        </w:rPr>
        <w:t>备</w:t>
      </w:r>
      <w:r>
        <w:rPr>
          <w:rFonts w:hint="eastAsia" w:ascii="仿宋_GB2312" w:hAnsi="仿宋_GB2312" w:eastAsia="仿宋_GB2312" w:cs="仿宋_GB2312"/>
          <w:sz w:val="32"/>
          <w:szCs w:val="32"/>
        </w:rPr>
        <w:t>发生数据灾难时对信息系统进行恢复重建。</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七</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采取多层次的有害信息、恶意攻击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网络舆情</w:t>
      </w:r>
      <w:r>
        <w:rPr>
          <w:rFonts w:hint="eastAsia" w:ascii="仿宋_GB2312" w:hAnsi="仿宋_GB2312" w:eastAsia="仿宋_GB2312" w:cs="仿宋_GB2312"/>
          <w:sz w:val="32"/>
          <w:szCs w:val="32"/>
        </w:rPr>
        <w:t>防范与处理措施。</w:t>
      </w:r>
      <w:r>
        <w:rPr>
          <w:rFonts w:hint="eastAsia" w:ascii="仿宋_GB2312" w:hAnsi="仿宋_GB2312" w:eastAsia="仿宋_GB2312" w:cs="仿宋_GB2312"/>
          <w:sz w:val="32"/>
          <w:szCs w:val="32"/>
          <w:lang w:val="en-US" w:eastAsia="zh-CN"/>
        </w:rPr>
        <w:t>全市财政部门</w:t>
      </w:r>
      <w:r>
        <w:rPr>
          <w:rFonts w:hint="eastAsia" w:ascii="仿宋_GB2312" w:hAnsi="仿宋_GB2312" w:eastAsia="仿宋_GB2312" w:cs="仿宋_GB2312"/>
          <w:sz w:val="32"/>
          <w:szCs w:val="32"/>
          <w:lang w:eastAsia="zh-CN"/>
        </w:rPr>
        <w:t>各</w:t>
      </w:r>
      <w:r>
        <w:rPr>
          <w:rFonts w:hint="eastAsia" w:ascii="仿宋_GB2312" w:hAnsi="仿宋_GB2312" w:eastAsia="仿宋_GB2312" w:cs="仿宋_GB2312"/>
          <w:sz w:val="32"/>
          <w:szCs w:val="32"/>
          <w:lang w:val="en-US" w:eastAsia="zh-CN"/>
        </w:rPr>
        <w:t>级</w:t>
      </w:r>
      <w:r>
        <w:rPr>
          <w:rFonts w:hint="eastAsia" w:ascii="仿宋_GB2312" w:hAnsi="仿宋_GB2312" w:eastAsia="仿宋_GB2312" w:cs="仿宋_GB2312"/>
          <w:sz w:val="32"/>
          <w:szCs w:val="32"/>
        </w:rPr>
        <w:t>计算机管理人员为第一层防线，发现有害信息、恶意攻击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网络舆情</w:t>
      </w:r>
      <w:r>
        <w:rPr>
          <w:rFonts w:hint="eastAsia" w:ascii="仿宋_GB2312" w:hAnsi="仿宋_GB2312" w:eastAsia="仿宋_GB2312" w:cs="仿宋_GB2312"/>
          <w:sz w:val="32"/>
          <w:szCs w:val="32"/>
        </w:rPr>
        <w:t>保留原始数据后及时删除</w:t>
      </w:r>
      <w:r>
        <w:rPr>
          <w:rFonts w:hint="eastAsia" w:ascii="仿宋_GB2312" w:hAnsi="仿宋_GB2312" w:eastAsia="仿宋_GB2312" w:cs="仿宋_GB2312"/>
          <w:sz w:val="32"/>
          <w:szCs w:val="32"/>
          <w:lang w:val="en-US" w:eastAsia="zh-CN"/>
        </w:rPr>
        <w:t>和处置</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市政府和社会资本合作管理中心</w:t>
      </w:r>
      <w:r>
        <w:rPr>
          <w:rFonts w:hint="eastAsia" w:ascii="仿宋_GB2312" w:hAnsi="仿宋_GB2312" w:eastAsia="仿宋_GB2312" w:cs="仿宋_GB2312"/>
          <w:sz w:val="32"/>
          <w:szCs w:val="32"/>
          <w:lang w:val="en-US" w:eastAsia="zh-CN"/>
        </w:rPr>
        <w:t>和办公室</w:t>
      </w:r>
      <w:r>
        <w:rPr>
          <w:rFonts w:hint="eastAsia" w:ascii="仿宋_GB2312" w:hAnsi="仿宋_GB2312" w:eastAsia="仿宋_GB2312" w:cs="仿宋_GB2312"/>
          <w:sz w:val="32"/>
          <w:szCs w:val="32"/>
        </w:rPr>
        <w:t>为第二层防线，负责对所有信息进行监视及信息审核，发现有害信息、恶意攻击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网络舆情</w:t>
      </w:r>
      <w:r>
        <w:rPr>
          <w:rFonts w:hint="eastAsia" w:ascii="仿宋_GB2312" w:hAnsi="仿宋_GB2312" w:eastAsia="仿宋_GB2312" w:cs="仿宋_GB2312"/>
          <w:sz w:val="32"/>
          <w:szCs w:val="32"/>
        </w:rPr>
        <w:t>后，在及时处理的同时向领导小组汇报，必要时还应向</w:t>
      </w:r>
      <w:r>
        <w:rPr>
          <w:rFonts w:hint="eastAsia" w:ascii="仿宋_GB2312" w:hAnsi="仿宋_GB2312" w:eastAsia="仿宋_GB2312" w:cs="仿宋_GB2312"/>
          <w:sz w:val="32"/>
          <w:szCs w:val="32"/>
          <w:lang w:val="en-US" w:eastAsia="zh-CN"/>
        </w:rPr>
        <w:t>省厅、</w:t>
      </w:r>
      <w:r>
        <w:rPr>
          <w:rFonts w:hint="eastAsia" w:ascii="仿宋_GB2312" w:hAnsi="仿宋_GB2312" w:eastAsia="仿宋_GB2312" w:cs="仿宋_GB2312"/>
          <w:sz w:val="32"/>
          <w:szCs w:val="32"/>
        </w:rPr>
        <w:t>政府信息化主管部门和公安网络监督部门报告。</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八</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网站、网页出现非法言论事件紧急处置措施</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1.信息安全技术人员负责随时密切监视信息内容，发现在网上出现非法信息时，应立即向领导小组办公室负责人报告；情况紧急的，在保留原始信息后，应先采取删除等处理措施，再按程序报告。</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2.信息安全技术人员应在接到报告后立即赶到现场，做好必要记录，清理非法信息，妥善保存有关记录及日志，强化安全防范措施，并将网站网页重新投入使用。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3.追查非法信息来源，并将有关情况向领导小组办公室负责人汇报。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4.领导小组办公室负责人召开会议，如认为事态严重，应立即向领导小组报告，并向政府信息化主管部门报告和公安部门报警。</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九</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黑客攻击事件紧急处置措施</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1.当信息安全技术人员发现</w:t>
      </w:r>
      <w:r>
        <w:rPr>
          <w:rFonts w:hint="eastAsia" w:ascii="仿宋_GB2312" w:hAnsi="仿宋_GB2312" w:eastAsia="仿宋_GB2312" w:cs="仿宋_GB2312"/>
          <w:sz w:val="32"/>
          <w:szCs w:val="32"/>
          <w:lang w:val="en-US" w:eastAsia="zh-CN"/>
        </w:rPr>
        <w:t>业务系统服务器</w:t>
      </w:r>
      <w:r>
        <w:rPr>
          <w:rFonts w:hint="eastAsia" w:ascii="仿宋_GB2312" w:hAnsi="仿宋_GB2312" w:eastAsia="仿宋_GB2312" w:cs="仿宋_GB2312"/>
          <w:sz w:val="32"/>
          <w:szCs w:val="32"/>
        </w:rPr>
        <w:t>或通过入侵检测系统发现有黑客正在进行攻击时，应首先将被攻击的服务器等设备从网络中隔离出来，保护现场，并立即向领导小组办公室负责人报告情况。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2.信息安全技术人员对现场进行分析，并写出分析报告存档，必要时上报</w:t>
      </w:r>
      <w:r>
        <w:rPr>
          <w:rFonts w:hint="eastAsia" w:ascii="仿宋_GB2312" w:hAnsi="仿宋_GB2312" w:eastAsia="仿宋_GB2312" w:cs="仿宋_GB2312"/>
          <w:sz w:val="32"/>
          <w:szCs w:val="32"/>
          <w:lang w:val="en-US" w:eastAsia="zh-CN"/>
        </w:rPr>
        <w:t>省厅、</w:t>
      </w:r>
      <w:r>
        <w:rPr>
          <w:rFonts w:hint="eastAsia" w:ascii="仿宋_GB2312" w:hAnsi="仿宋_GB2312" w:eastAsia="仿宋_GB2312" w:cs="仿宋_GB2312"/>
          <w:sz w:val="32"/>
          <w:szCs w:val="32"/>
        </w:rPr>
        <w:t>政府信息化主管部门和公安网络监管部门。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3.恢复与重建被攻击或破坏的计算机信息系统。</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4.由领导小组办公室负责人召开会议，如认为事态严重，则立即向领导小组报告，并向</w:t>
      </w:r>
      <w:r>
        <w:rPr>
          <w:rFonts w:hint="eastAsia" w:ascii="仿宋_GB2312" w:hAnsi="仿宋_GB2312" w:eastAsia="仿宋_GB2312" w:cs="仿宋_GB2312"/>
          <w:sz w:val="32"/>
          <w:szCs w:val="32"/>
          <w:lang w:val="en-US" w:eastAsia="zh-CN"/>
        </w:rPr>
        <w:t>省厅、</w:t>
      </w:r>
      <w:r>
        <w:rPr>
          <w:rFonts w:hint="eastAsia" w:ascii="仿宋_GB2312" w:hAnsi="仿宋_GB2312" w:eastAsia="仿宋_GB2312" w:cs="仿宋_GB2312"/>
          <w:sz w:val="32"/>
          <w:szCs w:val="32"/>
        </w:rPr>
        <w:t>政府信息化主管部门报告和公安网络监管部门报警。</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十</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病毒事件紧急处置措施</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1.当信息安全技术人员发现有计算机被感染上病毒后，应立即将该机与网络隔离。</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2.信息安全技术人员对该计算机进行数据备份。</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3.启用反病毒软件对该机进行杀毒处理，同时通过病毒检测软件对其他该网络中的计算机进行病毒扫描和清除工作。</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4.如果现行反病毒软件无法清除该病毒，应立即向领导小组办公室负责人报告，并迅速联系有解决能力的软件厂商研究解决。</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5.由领导小组办公室负责人召开会议，如认为事态严重，则立即向领导小组报告，视情况向</w:t>
      </w:r>
      <w:r>
        <w:rPr>
          <w:rFonts w:hint="eastAsia" w:ascii="仿宋_GB2312" w:hAnsi="仿宋_GB2312" w:eastAsia="仿宋_GB2312" w:cs="仿宋_GB2312"/>
          <w:sz w:val="32"/>
          <w:szCs w:val="32"/>
          <w:lang w:val="en-US" w:eastAsia="zh-CN"/>
        </w:rPr>
        <w:t>省厅、</w:t>
      </w:r>
      <w:r>
        <w:rPr>
          <w:rFonts w:hint="eastAsia" w:ascii="仿宋_GB2312" w:hAnsi="仿宋_GB2312" w:eastAsia="仿宋_GB2312" w:cs="仿宋_GB2312"/>
          <w:sz w:val="32"/>
          <w:szCs w:val="32"/>
        </w:rPr>
        <w:t>政府信息化主管部门报备或向公安部门报警。</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6.如果感染病毒的设备是主服务器，经领导小组办公室负责人报领导小组同意，应立即</w:t>
      </w:r>
      <w:r>
        <w:rPr>
          <w:rFonts w:hint="eastAsia" w:ascii="仿宋_GB2312" w:hAnsi="仿宋_GB2312" w:eastAsia="仿宋_GB2312" w:cs="仿宋_GB2312"/>
          <w:sz w:val="32"/>
          <w:szCs w:val="32"/>
          <w:lang w:val="en-US" w:eastAsia="zh-CN"/>
        </w:rPr>
        <w:t>上报省厅国有金融资本运营评价中心</w:t>
      </w:r>
      <w:r>
        <w:rPr>
          <w:rFonts w:hint="eastAsia" w:ascii="仿宋_GB2312" w:hAnsi="仿宋_GB2312" w:eastAsia="仿宋_GB2312" w:cs="仿宋_GB2312"/>
          <w:sz w:val="32"/>
          <w:szCs w:val="32"/>
        </w:rPr>
        <w:t>做好相应的清查工作。</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7.病毒清除，通过专业检测后，隔离的设备可重新投入使用。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十一</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软件系统遭破坏性攻击的紧急处置措施</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1.重要的软件系统日常维护时必须指定专人负责，将它们备份并保存于安全处。</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2.一旦软件遭到破坏性攻击，信息安全技术人员应立即向领导小组办公室负责人报告，并将该系统停止运行。</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3.信息安全技术人员检查信息系统的日志等资料，确定攻击来源，并将有关情况向领导小组办公室负责人汇报，再恢复软件系统和数据。</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4.由领导小组办公室负责人召开会议，如认为事态严重，则立即向领导小组报告，视情况向</w:t>
      </w:r>
      <w:r>
        <w:rPr>
          <w:rFonts w:hint="eastAsia" w:ascii="仿宋_GB2312" w:hAnsi="仿宋_GB2312" w:eastAsia="仿宋_GB2312" w:cs="仿宋_GB2312"/>
          <w:sz w:val="32"/>
          <w:szCs w:val="32"/>
          <w:lang w:val="en-US" w:eastAsia="zh-CN"/>
        </w:rPr>
        <w:t>省厅、</w:t>
      </w:r>
      <w:r>
        <w:rPr>
          <w:rFonts w:hint="eastAsia" w:ascii="仿宋_GB2312" w:hAnsi="仿宋_GB2312" w:eastAsia="仿宋_GB2312" w:cs="仿宋_GB2312"/>
          <w:sz w:val="32"/>
          <w:szCs w:val="32"/>
        </w:rPr>
        <w:t>政府信息化主管部门报告或向公安部门报警。</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十二</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数据库安全紧急处置措施</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1.主要数据库系统应按要求做好数据库备份。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2.一旦数据库崩溃，信息安全技术人员应立即启动备用系统，并向领导小组办公室负责人报告。</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3.在备用系统运行期间，信息安全工作人员应对主机系统进行维修并作数据恢复。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4.如果系统崩溃而无法恢复，技术员应立即向领导小组办公室负责人汇报，并请</w:t>
      </w:r>
      <w:r>
        <w:rPr>
          <w:rFonts w:hint="eastAsia" w:ascii="仿宋_GB2312" w:hAnsi="仿宋_GB2312" w:eastAsia="仿宋_GB2312" w:cs="仿宋_GB2312"/>
          <w:sz w:val="32"/>
          <w:szCs w:val="32"/>
          <w:lang w:val="en-US" w:eastAsia="zh-CN"/>
        </w:rPr>
        <w:t>省厅国有金融资本运营评价中心</w:t>
      </w:r>
      <w:r>
        <w:rPr>
          <w:rFonts w:hint="eastAsia" w:ascii="仿宋_GB2312" w:hAnsi="仿宋_GB2312" w:eastAsia="仿宋_GB2312" w:cs="仿宋_GB2312"/>
          <w:sz w:val="32"/>
          <w:szCs w:val="32"/>
        </w:rPr>
        <w:t>派员解决或联系有解决能力的厂商请求紧急支援。</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5.由领导小组办公室负责人召开会议，如认为事态严重，则立即向领导小组报告。</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第</w:t>
      </w:r>
      <w:r>
        <w:rPr>
          <w:rFonts w:hint="eastAsia" w:ascii="仿宋_GB2312" w:hAnsi="仿宋_GB2312" w:eastAsia="仿宋_GB2312" w:cs="仿宋_GB2312"/>
          <w:sz w:val="32"/>
          <w:szCs w:val="32"/>
          <w:lang w:val="en-US" w:eastAsia="zh-CN"/>
        </w:rPr>
        <w:t>十三</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广域网外部线路中断紧急处置措施</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1.信息安全技术人员接到报告后，应迅速判断故障节点，查明故障原因。</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2.如属</w:t>
      </w:r>
      <w:r>
        <w:rPr>
          <w:rFonts w:hint="eastAsia" w:ascii="仿宋_GB2312" w:hAnsi="仿宋_GB2312" w:eastAsia="仿宋_GB2312" w:cs="仿宋_GB2312"/>
          <w:sz w:val="32"/>
          <w:szCs w:val="32"/>
          <w:lang w:val="en-US" w:eastAsia="zh-CN"/>
        </w:rPr>
        <w:t>市政府和社会资本合作管理中心</w:t>
      </w:r>
      <w:r>
        <w:rPr>
          <w:rFonts w:hint="eastAsia" w:ascii="仿宋_GB2312" w:hAnsi="仿宋_GB2312" w:eastAsia="仿宋_GB2312" w:cs="仿宋_GB2312"/>
          <w:sz w:val="32"/>
          <w:szCs w:val="32"/>
        </w:rPr>
        <w:t>管辖范围，由信息安全技术人员立即予以恢复。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3.如属政府信息办或线路提供部门管辖范围，立即与政府信息办或线路提供维护部门联系，要求修复。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4.线路中断，信息安全技术人员应在判断故障节点，查明故障原因后，尽快研究恢复措施，并立即向领导小组办公室负责人汇报，同时做好故障记录。</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5.由领导小组办公室负责人召开会议，如认为事态严重，则立即向领导小组报告，同时应向政府信息化主管部门汇报，并向线路提供部门发函通报。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十四</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局域网中断紧急处置措施</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市政府和社会资本合作管理中心</w:t>
      </w:r>
      <w:r>
        <w:rPr>
          <w:rFonts w:hint="eastAsia" w:ascii="仿宋_GB2312" w:hAnsi="仿宋_GB2312" w:eastAsia="仿宋_GB2312" w:cs="仿宋_GB2312"/>
          <w:sz w:val="32"/>
          <w:szCs w:val="32"/>
        </w:rPr>
        <w:t>应指定人员负责对网络设备的日常管理工作。</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2.局域网中断后，信息安全技术人员应立即判断故障节点，查明故障原因，并向领导小组办公室负责人汇报，同时做好故障记录。</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3.如属线路故障，应与运营商联系维护。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4.如属路由器、交换机等网络设备故障，信息安全技术人员应立即更换故障设备，并调试通畅。</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5.如属路由器、交换机配置文件破坏，信息安全技术人员应迅速按照要求重新配置，并调测通畅。</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十五</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设备安全紧急处置措施</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1.服务器等关键设备损坏后，信息安全技术人员立即查明原因。</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2.如果能够自行修复，应立即用备件替换受损部件。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3.如属不能自行修复的，立即与设备提供商联系，要求派维护人员立即前来维修。</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4.如果设备一时不能修复，应立即向领导小组办公室负责人汇报。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5.由领导小组办公室负责人召开会议，如认为事态严重，则立即向领导小组报告，由领导小组提出相关处理意见。</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十六</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节假日、举行重大活动和发生重大事件时，信息安全技术人员应对整个网络的运行进行监控并及时删除各类非法信息。</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十七</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信息安全技术人员要切实做好计算机网络设备的防雷、防盗和防非法接入。若有以上情况发生，应向领导小组办公室负责人汇报。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第</w:t>
      </w:r>
      <w:r>
        <w:rPr>
          <w:rFonts w:hint="eastAsia" w:ascii="仿宋_GB2312" w:hAnsi="仿宋_GB2312" w:eastAsia="仿宋_GB2312" w:cs="仿宋_GB2312"/>
          <w:sz w:val="32"/>
          <w:szCs w:val="32"/>
          <w:lang w:val="en-US" w:eastAsia="zh-CN"/>
        </w:rPr>
        <w:t>十八</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信息安全技术人员应定时对本级计算机机房主机及其网络通信线路进行检查，时刻关注机器指示灯与工作状态。严禁任何人员在未经领导小组办公室负责人同意下对主机的网络通信线路做出任何改动，坚决杜绝对其进行随意开关。</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十九</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信息安全技术人员对网络设备进行配置后要及时进行保存，并将配置资料备份交本级</w:t>
      </w:r>
      <w:r>
        <w:rPr>
          <w:rFonts w:hint="eastAsia" w:ascii="仿宋_GB2312" w:hAnsi="仿宋_GB2312" w:eastAsia="仿宋_GB2312" w:cs="仿宋_GB2312"/>
          <w:sz w:val="32"/>
          <w:szCs w:val="32"/>
          <w:lang w:eastAsia="zh-CN"/>
        </w:rPr>
        <w:t>市政府和社会资本合作管理中心</w:t>
      </w:r>
      <w:r>
        <w:rPr>
          <w:rFonts w:hint="eastAsia" w:ascii="仿宋_GB2312" w:hAnsi="仿宋_GB2312" w:eastAsia="仿宋_GB2312" w:cs="仿宋_GB2312"/>
          <w:sz w:val="32"/>
          <w:szCs w:val="32"/>
        </w:rPr>
        <w:t>进行妥善管理，当网络交换设备发生故障后，应先关掉其电源并与上级部门进行联系进行设备更换。</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二十</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电源管理。未经本级</w:t>
      </w:r>
      <w:r>
        <w:rPr>
          <w:rFonts w:hint="eastAsia" w:ascii="仿宋_GB2312" w:hAnsi="仿宋_GB2312" w:eastAsia="仿宋_GB2312" w:cs="仿宋_GB2312"/>
          <w:sz w:val="32"/>
          <w:szCs w:val="32"/>
          <w:lang w:eastAsia="zh-CN"/>
        </w:rPr>
        <w:t>市政府和社会资本合作管理中心</w:t>
      </w:r>
      <w:r>
        <w:rPr>
          <w:rFonts w:hint="eastAsia" w:ascii="仿宋_GB2312" w:hAnsi="仿宋_GB2312" w:eastAsia="仿宋_GB2312" w:cs="仿宋_GB2312"/>
          <w:sz w:val="32"/>
          <w:szCs w:val="32"/>
        </w:rPr>
        <w:t>负责人同意不得随意关闭机房用机电源，如需对电源进行维修，应先告知相关管理人员关闭计算机。在计算机工作时，不得对电源线路做任何改动。如遇突然停电，应及时通知相关管理人员，视情况对用电设备进行限制使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二十一</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防火设施的管理。定期对灭火器材进行检查，保障正常使用。按照灭火器材上的使用时间，定期进行更换。发生火情时，应及时拨119进行求救并向相关领导报告。</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二十二</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制冷设备管理。</w:t>
      </w:r>
      <w:r>
        <w:rPr>
          <w:rFonts w:hint="eastAsia" w:ascii="仿宋_GB2312" w:hAnsi="仿宋_GB2312" w:eastAsia="仿宋_GB2312" w:cs="仿宋_GB2312"/>
          <w:sz w:val="32"/>
          <w:szCs w:val="32"/>
          <w:lang w:eastAsia="zh-CN"/>
        </w:rPr>
        <w:t>各县市区财政</w:t>
      </w:r>
      <w:r>
        <w:rPr>
          <w:rFonts w:hint="eastAsia" w:ascii="仿宋_GB2312" w:hAnsi="仿宋_GB2312" w:eastAsia="仿宋_GB2312" w:cs="仿宋_GB2312"/>
          <w:sz w:val="32"/>
          <w:szCs w:val="32"/>
        </w:rPr>
        <w:t>部门如有专用计算机房或计算机（数据）中心的，应配备专用制冷设备。机房中放置温度、湿度监控装置，管理人员要随时密切注意温度和湿度的指数。如制冷设备出现故障，应及时通知相关人员，将机房中正在运行的设备降低至最小功耗或关闭，减少发热源，同时应联系制冷设备厂商及时解决故障。</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二十三</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其他不可预见的灾害事件。</w:t>
      </w:r>
      <w:r>
        <w:rPr>
          <w:rFonts w:hint="eastAsia" w:ascii="仿宋_GB2312" w:hAnsi="仿宋_GB2312" w:eastAsia="仿宋_GB2312" w:cs="仿宋_GB2312"/>
          <w:sz w:val="32"/>
          <w:szCs w:val="32"/>
          <w:lang w:eastAsia="zh-CN"/>
        </w:rPr>
        <w:t>市政府和社会资本合作管理中心</w:t>
      </w:r>
      <w:r>
        <w:rPr>
          <w:rFonts w:hint="eastAsia" w:ascii="仿宋_GB2312" w:hAnsi="仿宋_GB2312" w:eastAsia="仿宋_GB2312" w:cs="仿宋_GB2312"/>
          <w:sz w:val="32"/>
          <w:szCs w:val="32"/>
          <w:lang w:val="en-US" w:eastAsia="zh-CN"/>
        </w:rPr>
        <w:t>以及</w:t>
      </w:r>
      <w:r>
        <w:rPr>
          <w:rFonts w:hint="eastAsia" w:ascii="仿宋_GB2312" w:hAnsi="仿宋_GB2312" w:eastAsia="仿宋_GB2312" w:cs="仿宋_GB2312"/>
          <w:sz w:val="32"/>
          <w:szCs w:val="32"/>
          <w:lang w:eastAsia="zh-CN"/>
        </w:rPr>
        <w:t>各县市区财政</w:t>
      </w:r>
      <w:r>
        <w:rPr>
          <w:rFonts w:hint="eastAsia" w:ascii="仿宋_GB2312" w:hAnsi="仿宋_GB2312" w:eastAsia="仿宋_GB2312" w:cs="仿宋_GB2312"/>
          <w:sz w:val="32"/>
          <w:szCs w:val="32"/>
        </w:rPr>
        <w:t>部门应对本级部门重要的软件系统和数据信息做好备份工作。不可预见的灾害发生后，在本级应急领导小组的组织领导下，启动本预案，并按程序进行灾后计算机信息系统重建工作。</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bookmarkStart w:id="0" w:name="_Toc531275734"/>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章  监督管理</w:t>
      </w:r>
      <w:bookmarkEnd w:id="0"/>
    </w:p>
    <w:p>
      <w:pPr>
        <w:spacing w:line="60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二十四</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32"/>
          <w:szCs w:val="32"/>
        </w:rPr>
        <w:t>要加强对网络与信息安全等方面的知识培训</w:t>
      </w:r>
      <w:r>
        <w:rPr>
          <w:rFonts w:hint="eastAsia" w:ascii="仿宋_GB2312" w:eastAsia="仿宋_GB2312"/>
          <w:sz w:val="32"/>
          <w:szCs w:val="32"/>
          <w:lang w:val="en-US" w:eastAsia="zh-CN"/>
        </w:rPr>
        <w:t>和</w:t>
      </w:r>
      <w:r>
        <w:rPr>
          <w:rFonts w:hint="eastAsia" w:ascii="仿宋_GB2312" w:eastAsia="仿宋_GB2312"/>
          <w:sz w:val="32"/>
          <w:szCs w:val="32"/>
        </w:rPr>
        <w:t>宣传教育，提高防范意识及技能，指定专人负责安全技术工作。并将网络与信息安全突发事件的应急管理、工作流程等列为培训内容，增强应急处置工作的组织能力。</w:t>
      </w:r>
    </w:p>
    <w:p>
      <w:pPr>
        <w:spacing w:line="60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二十五</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32"/>
          <w:szCs w:val="32"/>
        </w:rPr>
        <w:t>建立应急预案演练制度。通过演练，发现应急工作体系和工作机制存在的问题，不断完善应急预案，提高应急处置能力。</w:t>
      </w:r>
    </w:p>
    <w:p>
      <w:pPr>
        <w:spacing w:line="600" w:lineRule="exact"/>
        <w:ind w:firstLine="2880" w:firstLineChars="900"/>
        <w:rPr>
          <w:rFonts w:hint="default" w:ascii="仿宋_GB2312"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 xml:space="preserve">章  </w:t>
      </w:r>
      <w:r>
        <w:rPr>
          <w:rFonts w:hint="eastAsia" w:ascii="黑体" w:hAnsi="黑体" w:eastAsia="黑体"/>
          <w:sz w:val="32"/>
          <w:szCs w:val="32"/>
          <w:lang w:val="en-US" w:eastAsia="zh-CN"/>
        </w:rPr>
        <w:t>责任制度</w:t>
      </w:r>
    </w:p>
    <w:p>
      <w:pPr>
        <w:spacing w:line="600" w:lineRule="exact"/>
        <w:ind w:firstLine="640" w:firstLineChars="200"/>
        <w:rPr>
          <w:rFonts w:hint="eastAsia" w:ascii="仿宋_GB2312" w:eastAsia="仿宋_GB2312"/>
          <w:sz w:val="32"/>
          <w:szCs w:val="32"/>
        </w:rPr>
      </w:pP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二十六</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32"/>
          <w:szCs w:val="32"/>
        </w:rPr>
        <w:t>各相关部门和个人要认真贯彻落实本预案的各项要求，信息安全领导小组将不定期组织检查，对未有效落实预案各项规定的部门和个人进行通报批评。对在网络与信息安全突发事件应急处置中做出突出贡献的集体和个人，给予表彰奖励；对在网络与信息安全突发事件预防和应急处置中有玩忽职守、失职等行为者，依法依规追究责任。</w:t>
      </w:r>
      <w:bookmarkStart w:id="1" w:name="_Toc531275735"/>
      <w:r>
        <w:rPr>
          <w:rFonts w:hint="eastAsia" w:ascii="仿宋_GB2312" w:eastAsia="仿宋_GB2312"/>
          <w:sz w:val="32"/>
          <w:szCs w:val="32"/>
          <w:lang w:val="en-US" w:eastAsia="zh-CN"/>
        </w:rPr>
        <w:t>并</w:t>
      </w:r>
      <w:r>
        <w:rPr>
          <w:rFonts w:hint="eastAsia" w:ascii="仿宋_GB2312" w:eastAsia="仿宋_GB2312"/>
          <w:sz w:val="32"/>
          <w:szCs w:val="32"/>
        </w:rPr>
        <w:t>根据安全事件造成的影响及相关责任主体的处置态度，作出如下处理:</w:t>
      </w:r>
    </w:p>
    <w:p>
      <w:pPr>
        <w:spacing w:line="600" w:lineRule="exact"/>
        <w:ind w:firstLine="640" w:firstLineChars="200"/>
        <w:rPr>
          <w:rFonts w:hint="eastAsia" w:ascii="仿宋_GB2312" w:eastAsia="仿宋_GB2312"/>
          <w:sz w:val="32"/>
          <w:szCs w:val="32"/>
        </w:rPr>
      </w:pPr>
      <w:r>
        <w:rPr>
          <w:rFonts w:hint="eastAsia" w:ascii="仿宋_GB2312" w:hAnsi="仿宋_GB2312" w:eastAsia="仿宋_GB2312" w:cs="仿宋_GB2312"/>
          <w:sz w:val="32"/>
          <w:szCs w:val="32"/>
        </w:rPr>
        <w:t>1.</w:t>
      </w:r>
      <w:r>
        <w:rPr>
          <w:rFonts w:hint="eastAsia" w:ascii="仿宋_GB2312" w:eastAsia="仿宋_GB2312"/>
          <w:sz w:val="32"/>
          <w:szCs w:val="32"/>
        </w:rPr>
        <w:t>批评教育。包括责令责任主体检查、诫勉谈话等</w:t>
      </w:r>
    </w:p>
    <w:p>
      <w:pPr>
        <w:spacing w:line="600" w:lineRule="exact"/>
        <w:ind w:firstLine="640" w:firstLineChars="200"/>
        <w:rPr>
          <w:rFonts w:hint="eastAsia" w:ascii="仿宋_GB2312" w:eastAsia="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r>
        <w:rPr>
          <w:rFonts w:hint="eastAsia" w:ascii="仿宋_GB2312" w:eastAsia="仿宋_GB2312"/>
          <w:sz w:val="32"/>
          <w:szCs w:val="32"/>
        </w:rPr>
        <w:t>通报批评。在事发部门、单位范围内对责任主体发文通报，责令整改，并由责任主体向学校主管领导作出书面检查。</w:t>
      </w:r>
    </w:p>
    <w:p>
      <w:pPr>
        <w:spacing w:line="600" w:lineRule="exact"/>
        <w:ind w:firstLine="640" w:firstLineChars="200"/>
        <w:rPr>
          <w:rFonts w:hint="eastAsia" w:ascii="仿宋_GB2312" w:eastAsia="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ascii="仿宋_GB2312" w:eastAsia="仿宋_GB2312"/>
          <w:sz w:val="32"/>
          <w:szCs w:val="32"/>
        </w:rPr>
        <w:t>问责追责。将事故纳入责任主体的年度考核，取消当年年度考核评优资格，降低或扣除责任主体的年度绩效;依照发生网络与信息安全事故的严重程度，对责任主体和相关责任人处以罚款、赔偿事故损失、降职，直至解聘等。</w:t>
      </w:r>
    </w:p>
    <w:p>
      <w:pPr>
        <w:spacing w:line="600" w:lineRule="exact"/>
        <w:ind w:firstLine="640" w:firstLineChars="200"/>
        <w:rPr>
          <w:rFonts w:hint="eastAsia" w:ascii="仿宋_GB2312" w:eastAsia="仿宋_GB2312"/>
          <w:sz w:val="32"/>
          <w:szCs w:val="32"/>
          <w:lang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eastAsia="仿宋_GB2312"/>
          <w:sz w:val="32"/>
          <w:szCs w:val="32"/>
        </w:rPr>
        <w:t>报警处理。严重损坏社会或国家利益的，上报当地公安部门处理</w:t>
      </w:r>
      <w:r>
        <w:rPr>
          <w:rFonts w:hint="eastAsia" w:ascii="仿宋_GB2312" w:eastAsia="仿宋_GB2312"/>
          <w:sz w:val="32"/>
          <w:szCs w:val="32"/>
          <w:lang w:eastAsia="zh-CN"/>
        </w:rPr>
        <w:t>。</w:t>
      </w:r>
    </w:p>
    <w:p>
      <w:pPr>
        <w:spacing w:line="6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有下列情形之一者，减轻或不追究责任主体的责任:</w:t>
      </w:r>
    </w:p>
    <w:p>
      <w:pPr>
        <w:spacing w:line="600" w:lineRule="exact"/>
        <w:ind w:firstLine="640" w:firstLineChars="200"/>
        <w:rPr>
          <w:rFonts w:hint="eastAsia" w:ascii="仿宋_GB2312" w:eastAsia="仿宋_GB2312"/>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eastAsia="仿宋_GB2312"/>
          <w:sz w:val="32"/>
          <w:szCs w:val="32"/>
          <w:lang w:val="en-US" w:eastAsia="zh-CN"/>
        </w:rPr>
        <w:t>因不可抗力导致发生的网络与信息安全事故。</w:t>
      </w:r>
    </w:p>
    <w:p>
      <w:pPr>
        <w:spacing w:line="600" w:lineRule="exact"/>
        <w:ind w:firstLine="640" w:firstLineChars="200"/>
        <w:rPr>
          <w:rFonts w:hint="eastAsia" w:ascii="仿宋_GB2312" w:eastAsia="仿宋_GB2312"/>
          <w:sz w:val="32"/>
          <w:szCs w:val="32"/>
          <w:lang w:val="en-US"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eastAsia="仿宋_GB2312"/>
          <w:sz w:val="32"/>
          <w:szCs w:val="32"/>
          <w:lang w:val="en-US" w:eastAsia="zh-CN"/>
        </w:rPr>
        <w:t>有充分证据证明完全落实了相关安全要求，由未知原因导致网络与信息安全事故发生的。</w:t>
      </w:r>
    </w:p>
    <w:p>
      <w:pPr>
        <w:spacing w:line="600" w:lineRule="exact"/>
        <w:ind w:firstLine="640" w:firstLineChars="200"/>
        <w:rPr>
          <w:rFonts w:hint="eastAsia" w:ascii="仿宋_GB2312" w:eastAsia="仿宋_GB2312"/>
          <w:sz w:val="32"/>
          <w:szCs w:val="32"/>
          <w:lang w:val="en-US" w:eastAsia="zh-CN"/>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w:t>
      </w:r>
      <w:r>
        <w:rPr>
          <w:rFonts w:hint="eastAsia" w:ascii="仿宋_GB2312" w:eastAsia="仿宋_GB2312"/>
          <w:sz w:val="32"/>
          <w:szCs w:val="32"/>
          <w:lang w:val="en-US" w:eastAsia="zh-CN"/>
        </w:rPr>
        <w:t>责任主体主动承认过错并及时修补管理或技术漏洞，视减少损失、挽回影响程度，予以从轻或减轻责任追究。</w:t>
      </w:r>
    </w:p>
    <w:p>
      <w:pPr>
        <w:spacing w:line="60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第二十七条 责任追究程序包括调查、对调查报告审核、作出责任追究决定等。</w:t>
      </w:r>
    </w:p>
    <w:p>
      <w:pPr>
        <w:spacing w:line="6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第二十八条 </w:t>
      </w:r>
      <w:r>
        <w:rPr>
          <w:rFonts w:hint="eastAsia" w:ascii="仿宋_GB2312" w:hAnsi="仿宋_GB2312" w:eastAsia="仿宋_GB2312" w:cs="仿宋_GB2312"/>
          <w:sz w:val="32"/>
          <w:szCs w:val="32"/>
          <w:lang w:val="en-US" w:eastAsia="zh-CN"/>
        </w:rPr>
        <w:t>数字财政</w:t>
      </w:r>
      <w:r>
        <w:rPr>
          <w:rFonts w:hint="eastAsia" w:ascii="仿宋_GB2312" w:hAnsi="仿宋_GB2312" w:eastAsia="仿宋_GB2312" w:cs="仿宋_GB2312"/>
          <w:sz w:val="32"/>
          <w:szCs w:val="32"/>
        </w:rPr>
        <w:t>工作领导小组</w:t>
      </w:r>
      <w:r>
        <w:rPr>
          <w:rFonts w:hint="eastAsia" w:ascii="仿宋_GB2312" w:eastAsia="仿宋_GB2312"/>
          <w:sz w:val="32"/>
          <w:szCs w:val="32"/>
          <w:lang w:val="en-US" w:eastAsia="zh-CN"/>
        </w:rPr>
        <w:t>办公室负责对网络与信息安全事故的调查和对事故责任的初步定性，并对调查报告进行审核。对责任主体的追究决定由领导小组作出，相关部门实施。</w:t>
      </w:r>
    </w:p>
    <w:p>
      <w:pPr>
        <w:spacing w:line="600" w:lineRule="exact"/>
        <w:jc w:val="center"/>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六</w:t>
      </w:r>
      <w:r>
        <w:rPr>
          <w:rFonts w:hint="eastAsia" w:ascii="黑体" w:hAnsi="黑体" w:eastAsia="黑体"/>
          <w:sz w:val="32"/>
          <w:szCs w:val="32"/>
        </w:rPr>
        <w:t>章  附  则</w:t>
      </w:r>
      <w:bookmarkEnd w:id="1"/>
    </w:p>
    <w:p>
      <w:pPr>
        <w:spacing w:line="600" w:lineRule="exact"/>
        <w:ind w:firstLine="640" w:firstLineChars="200"/>
        <w:rPr>
          <w:rFonts w:ascii="仿宋_GB2312" w:eastAsia="仿宋_GB2312"/>
          <w:sz w:val="32"/>
          <w:szCs w:val="32"/>
        </w:rPr>
      </w:pPr>
      <w:r>
        <w:rPr>
          <w:rFonts w:hint="eastAsia" w:ascii="仿宋_GB2312" w:eastAsia="仿宋_GB2312"/>
          <w:sz w:val="32"/>
          <w:szCs w:val="32"/>
          <w:lang w:val="en-US" w:eastAsia="zh-CN"/>
        </w:rPr>
        <w:t>第</w:t>
      </w:r>
      <w:r>
        <w:rPr>
          <w:rFonts w:hint="eastAsia" w:ascii="仿宋_GB2312" w:eastAsia="仿宋_GB2312"/>
          <w:sz w:val="32"/>
          <w:szCs w:val="32"/>
        </w:rPr>
        <w:t>二十九</w:t>
      </w:r>
      <w:r>
        <w:rPr>
          <w:rFonts w:hint="eastAsia" w:ascii="仿宋_GB2312" w:eastAsia="仿宋_GB2312"/>
          <w:sz w:val="32"/>
          <w:szCs w:val="32"/>
          <w:lang w:val="en-US" w:eastAsia="zh-CN"/>
        </w:rPr>
        <w:t xml:space="preserve">条 </w:t>
      </w:r>
      <w:r>
        <w:rPr>
          <w:rFonts w:hint="eastAsia" w:ascii="仿宋_GB2312" w:eastAsia="仿宋_GB2312"/>
          <w:sz w:val="32"/>
          <w:szCs w:val="32"/>
        </w:rPr>
        <w:t>本规定由</w:t>
      </w:r>
      <w:r>
        <w:rPr>
          <w:rFonts w:hint="eastAsia" w:ascii="仿宋_GB2312" w:hAnsi="仿宋_GB2312" w:eastAsia="仿宋_GB2312" w:cs="仿宋_GB2312"/>
          <w:sz w:val="32"/>
          <w:szCs w:val="32"/>
          <w:lang w:val="en-US" w:eastAsia="zh-CN"/>
        </w:rPr>
        <w:t>三门峡市财政局</w:t>
      </w:r>
      <w:r>
        <w:rPr>
          <w:rFonts w:hint="eastAsia" w:ascii="仿宋_GB2312" w:eastAsia="仿宋_GB2312"/>
          <w:sz w:val="32"/>
          <w:szCs w:val="32"/>
        </w:rPr>
        <w:t>负责解释和修订。</w:t>
      </w:r>
    </w:p>
    <w:p>
      <w:pPr>
        <w:spacing w:line="600" w:lineRule="exact"/>
        <w:ind w:firstLine="640" w:firstLineChars="200"/>
        <w:rPr>
          <w:rFonts w:ascii="仿宋_GB2312" w:eastAsia="仿宋_GB2312"/>
          <w:sz w:val="32"/>
          <w:szCs w:val="32"/>
        </w:rPr>
      </w:pPr>
      <w:r>
        <w:rPr>
          <w:rFonts w:hint="eastAsia" w:ascii="仿宋_GB2312" w:eastAsia="仿宋_GB2312"/>
          <w:sz w:val="32"/>
          <w:szCs w:val="32"/>
          <w:lang w:val="en-US" w:eastAsia="zh-CN"/>
        </w:rPr>
        <w:t xml:space="preserve">第三十条 </w:t>
      </w:r>
      <w:r>
        <w:rPr>
          <w:rFonts w:hint="eastAsia" w:ascii="仿宋_GB2312" w:eastAsia="仿宋_GB2312"/>
          <w:sz w:val="32"/>
          <w:szCs w:val="32"/>
        </w:rPr>
        <w:t>本规定自发布之日起执行。</w:t>
      </w:r>
    </w:p>
    <w:p>
      <w:pPr>
        <w:pStyle w:val="2"/>
        <w:keepNext/>
        <w:keepLines/>
        <w:numPr>
          <w:ilvl w:val="2"/>
          <w:numId w:val="0"/>
        </w:numPr>
        <w:spacing w:beforeLines="50" w:afterLines="50" w:line="600" w:lineRule="exact"/>
        <w:ind w:firstLine="290" w:firstLineChars="100"/>
        <w:jc w:val="both"/>
        <w:rPr>
          <w:rFonts w:hint="eastAsia" w:ascii="宋体" w:hAnsi="宋体"/>
          <w:i w:val="0"/>
          <w:sz w:val="28"/>
          <w:szCs w:val="28"/>
          <w:lang w:val="en-US" w:eastAsia="zh-CN"/>
        </w:rPr>
      </w:pPr>
    </w:p>
    <w:p>
      <w:pPr>
        <w:pStyle w:val="2"/>
        <w:keepNext/>
        <w:keepLines/>
        <w:numPr>
          <w:ilvl w:val="2"/>
          <w:numId w:val="0"/>
        </w:numPr>
        <w:spacing w:beforeLines="50" w:afterLines="50" w:line="600" w:lineRule="exact"/>
        <w:ind w:firstLine="4950" w:firstLineChars="1500"/>
        <w:jc w:val="both"/>
        <w:rPr>
          <w:rFonts w:hint="default" w:ascii="宋体" w:hAnsi="宋体"/>
          <w:i w:val="0"/>
          <w:sz w:val="28"/>
          <w:szCs w:val="28"/>
          <w:lang w:val="en-US" w:eastAsia="zh-CN"/>
        </w:rPr>
      </w:pPr>
      <w:r>
        <w:rPr>
          <w:rFonts w:hint="eastAsia" w:ascii="仿宋_GB2312" w:hAnsi="仿宋_GB2312" w:eastAsia="仿宋_GB2312" w:cs="仿宋_GB2312"/>
          <w:i w:val="0"/>
          <w:sz w:val="32"/>
          <w:szCs w:val="32"/>
          <w:lang w:val="en-US" w:eastAsia="zh-CN"/>
        </w:rPr>
        <w:t xml:space="preserve">2024年11月1日   </w:t>
      </w:r>
      <w:r>
        <w:rPr>
          <w:rFonts w:hint="eastAsia" w:ascii="宋体" w:hAnsi="宋体"/>
          <w:i w:val="0"/>
          <w:sz w:val="28"/>
          <w:szCs w:val="28"/>
          <w:lang w:val="en-US" w:eastAsia="zh-CN"/>
        </w:rPr>
        <w:t xml:space="preserve"> </w:t>
      </w:r>
    </w:p>
    <w:p>
      <w:pPr>
        <w:pStyle w:val="2"/>
        <w:keepNext/>
        <w:keepLines/>
        <w:numPr>
          <w:ilvl w:val="2"/>
          <w:numId w:val="0"/>
        </w:numPr>
        <w:spacing w:beforeLines="50" w:afterLines="50" w:line="600" w:lineRule="exact"/>
        <w:ind w:firstLine="290" w:firstLineChars="100"/>
        <w:jc w:val="both"/>
        <w:rPr>
          <w:rFonts w:hint="eastAsia" w:ascii="宋体" w:hAnsi="宋体"/>
          <w:i w:val="0"/>
          <w:sz w:val="28"/>
          <w:szCs w:val="28"/>
          <w:lang w:val="en-US" w:eastAsia="zh-CN"/>
        </w:rPr>
      </w:pPr>
    </w:p>
    <w:p>
      <w:pPr>
        <w:pStyle w:val="2"/>
        <w:keepNext/>
        <w:keepLines/>
        <w:numPr>
          <w:ilvl w:val="2"/>
          <w:numId w:val="0"/>
        </w:numPr>
        <w:spacing w:beforeLines="50" w:afterLines="50" w:line="600" w:lineRule="exact"/>
        <w:ind w:firstLine="290" w:firstLineChars="100"/>
        <w:jc w:val="both"/>
        <w:rPr>
          <w:rFonts w:hint="eastAsia" w:ascii="宋体" w:hAnsi="宋体"/>
          <w:i w:val="0"/>
          <w:sz w:val="28"/>
          <w:szCs w:val="28"/>
          <w:lang w:val="en-US" w:eastAsia="zh-CN"/>
        </w:rPr>
      </w:pPr>
    </w:p>
    <w:p>
      <w:pPr>
        <w:pStyle w:val="2"/>
        <w:keepNext/>
        <w:keepLines/>
        <w:numPr>
          <w:ilvl w:val="2"/>
          <w:numId w:val="0"/>
        </w:numPr>
        <w:spacing w:beforeLines="50" w:afterLines="50" w:line="600" w:lineRule="exact"/>
        <w:ind w:firstLine="290" w:firstLineChars="100"/>
        <w:jc w:val="both"/>
        <w:rPr>
          <w:rFonts w:hint="eastAsia" w:ascii="宋体" w:hAnsi="宋体"/>
          <w:i w:val="0"/>
          <w:sz w:val="28"/>
          <w:szCs w:val="28"/>
          <w:lang w:val="en-US" w:eastAsia="zh-CN"/>
        </w:rPr>
      </w:pPr>
    </w:p>
    <w:p>
      <w:pPr>
        <w:pStyle w:val="2"/>
        <w:keepNext/>
        <w:keepLines/>
        <w:numPr>
          <w:ilvl w:val="2"/>
          <w:numId w:val="0"/>
        </w:numPr>
        <w:spacing w:beforeLines="50" w:afterLines="50" w:line="600" w:lineRule="exact"/>
        <w:ind w:firstLine="290" w:firstLineChars="100"/>
        <w:jc w:val="both"/>
        <w:rPr>
          <w:rFonts w:hint="eastAsia" w:ascii="宋体" w:hAnsi="宋体"/>
          <w:i w:val="0"/>
          <w:sz w:val="28"/>
          <w:szCs w:val="28"/>
          <w:lang w:val="en-US" w:eastAsia="zh-CN"/>
        </w:rPr>
      </w:pPr>
    </w:p>
    <w:p>
      <w:pPr>
        <w:pStyle w:val="2"/>
        <w:keepNext/>
        <w:keepLines/>
        <w:numPr>
          <w:ilvl w:val="2"/>
          <w:numId w:val="0"/>
        </w:numPr>
        <w:spacing w:beforeLines="50" w:afterLines="50" w:line="600" w:lineRule="exact"/>
        <w:ind w:firstLine="290" w:firstLineChars="100"/>
        <w:jc w:val="both"/>
        <w:rPr>
          <w:rFonts w:hint="eastAsia" w:ascii="宋体" w:hAnsi="宋体"/>
          <w:i w:val="0"/>
          <w:sz w:val="28"/>
          <w:szCs w:val="28"/>
          <w:lang w:val="en-US" w:eastAsia="zh-CN"/>
        </w:rPr>
      </w:pPr>
    </w:p>
    <w:p>
      <w:pPr>
        <w:pStyle w:val="2"/>
        <w:keepNext/>
        <w:keepLines/>
        <w:numPr>
          <w:ilvl w:val="2"/>
          <w:numId w:val="0"/>
        </w:numPr>
        <w:spacing w:beforeLines="50" w:afterLines="50" w:line="600" w:lineRule="exact"/>
        <w:ind w:firstLine="290" w:firstLineChars="100"/>
        <w:jc w:val="both"/>
        <w:rPr>
          <w:rFonts w:hint="eastAsia" w:ascii="宋体" w:hAnsi="宋体"/>
          <w:i w:val="0"/>
          <w:sz w:val="28"/>
          <w:szCs w:val="28"/>
          <w:lang w:val="en-US" w:eastAsia="zh-CN"/>
        </w:rPr>
      </w:pPr>
    </w:p>
    <w:p>
      <w:pPr>
        <w:pStyle w:val="2"/>
        <w:keepNext/>
        <w:keepLines/>
        <w:numPr>
          <w:ilvl w:val="2"/>
          <w:numId w:val="0"/>
        </w:numPr>
        <w:spacing w:beforeLines="50" w:afterLines="50" w:line="600" w:lineRule="exact"/>
        <w:ind w:firstLine="290" w:firstLineChars="100"/>
        <w:jc w:val="both"/>
        <w:rPr>
          <w:rFonts w:hint="eastAsia" w:ascii="宋体" w:hAnsi="宋体"/>
          <w:i w:val="0"/>
          <w:sz w:val="28"/>
          <w:szCs w:val="28"/>
          <w:lang w:val="en-US" w:eastAsia="zh-CN"/>
        </w:rPr>
      </w:pPr>
    </w:p>
    <w:p>
      <w:pPr>
        <w:pStyle w:val="2"/>
        <w:keepNext/>
        <w:keepLines/>
        <w:numPr>
          <w:ilvl w:val="2"/>
          <w:numId w:val="0"/>
        </w:numPr>
        <w:spacing w:beforeLines="50" w:afterLines="50" w:line="600" w:lineRule="exact"/>
        <w:ind w:firstLine="290" w:firstLineChars="100"/>
        <w:jc w:val="both"/>
        <w:rPr>
          <w:rFonts w:hint="eastAsia" w:ascii="宋体" w:hAnsi="宋体"/>
          <w:i w:val="0"/>
          <w:sz w:val="28"/>
          <w:szCs w:val="28"/>
          <w:lang w:val="en-US" w:eastAsia="zh-CN"/>
        </w:rPr>
      </w:pPr>
    </w:p>
    <w:p>
      <w:pPr>
        <w:pStyle w:val="2"/>
        <w:keepNext/>
        <w:keepLines/>
        <w:numPr>
          <w:ilvl w:val="2"/>
          <w:numId w:val="0"/>
        </w:numPr>
        <w:spacing w:beforeLines="50" w:afterLines="50" w:line="600" w:lineRule="exact"/>
        <w:ind w:firstLine="290" w:firstLineChars="100"/>
        <w:jc w:val="both"/>
        <w:rPr>
          <w:rFonts w:hint="eastAsia" w:ascii="宋体" w:hAnsi="宋体"/>
          <w:i w:val="0"/>
          <w:sz w:val="28"/>
          <w:szCs w:val="28"/>
          <w:lang w:val="en-US" w:eastAsia="zh-CN"/>
        </w:rPr>
      </w:pPr>
    </w:p>
    <w:p>
      <w:pPr>
        <w:pStyle w:val="2"/>
        <w:keepNext/>
        <w:keepLines/>
        <w:numPr>
          <w:ilvl w:val="2"/>
          <w:numId w:val="0"/>
        </w:numPr>
        <w:spacing w:beforeLines="50" w:afterLines="50" w:line="600" w:lineRule="exact"/>
        <w:ind w:firstLine="290" w:firstLineChars="100"/>
        <w:jc w:val="both"/>
        <w:rPr>
          <w:rFonts w:hint="eastAsia" w:ascii="宋体" w:hAnsi="宋体"/>
          <w:i w:val="0"/>
          <w:sz w:val="28"/>
          <w:szCs w:val="28"/>
          <w:lang w:val="en-US" w:eastAsia="zh-CN"/>
        </w:rPr>
      </w:pPr>
    </w:p>
    <w:p>
      <w:pPr>
        <w:pStyle w:val="2"/>
        <w:keepNext/>
        <w:keepLines/>
        <w:numPr>
          <w:ilvl w:val="2"/>
          <w:numId w:val="0"/>
        </w:numPr>
        <w:spacing w:beforeLines="50" w:afterLines="50" w:line="600" w:lineRule="exact"/>
        <w:jc w:val="both"/>
        <w:rPr>
          <w:rFonts w:hint="eastAsia" w:ascii="宋体" w:hAnsi="宋体"/>
          <w:i w:val="0"/>
          <w:sz w:val="28"/>
          <w:szCs w:val="28"/>
          <w:lang w:val="en-US" w:eastAsia="zh-CN"/>
        </w:rPr>
      </w:pPr>
    </w:p>
    <w:p>
      <w:pPr>
        <w:rPr>
          <w:rFonts w:hint="eastAsia"/>
          <w:lang w:val="en-US" w:eastAsia="zh-CN"/>
        </w:rPr>
      </w:pPr>
    </w:p>
    <w:p>
      <w:pPr>
        <w:rPr>
          <w:rFonts w:hint="eastAsia"/>
          <w:lang w:val="en-US" w:eastAsia="zh-CN"/>
        </w:rPr>
      </w:pPr>
    </w:p>
    <w:p>
      <w:pPr>
        <w:widowControl/>
        <w:spacing w:after="200" w:line="276" w:lineRule="auto"/>
        <w:jc w:val="center"/>
        <w:rPr>
          <w:rFonts w:hint="eastAsia" w:ascii="黑体" w:hAnsi="黑体" w:eastAsia="黑体"/>
          <w:kern w:val="0"/>
          <w:sz w:val="44"/>
          <w:szCs w:val="44"/>
          <w:lang w:bidi="en-US"/>
        </w:rPr>
      </w:pPr>
    </w:p>
    <w:p>
      <w:pPr>
        <w:keepNext w:val="0"/>
        <w:keepLines w:val="0"/>
        <w:pageBreakBefore w:val="0"/>
        <w:widowControl/>
        <w:kinsoku/>
        <w:wordWrap/>
        <w:overflowPunct/>
        <w:topLinePunct w:val="0"/>
        <w:autoSpaceDE/>
        <w:autoSpaceDN/>
        <w:bidi w:val="0"/>
        <w:adjustRightInd/>
        <w:snapToGrid/>
        <w:spacing w:after="200" w:line="660" w:lineRule="exact"/>
        <w:jc w:val="both"/>
        <w:textAlignment w:val="auto"/>
        <w:rPr>
          <w:rFonts w:hint="eastAsia" w:ascii="仿宋_GB2312" w:hAnsi="仿宋_GB2312" w:eastAsia="仿宋_GB2312" w:cs="仿宋_GB2312"/>
          <w:kern w:val="0"/>
          <w:sz w:val="32"/>
          <w:szCs w:val="32"/>
          <w:lang w:val="en-US" w:eastAsia="zh-CN" w:bidi="en-US"/>
        </w:rPr>
      </w:pPr>
      <w:r>
        <w:rPr>
          <w:rFonts w:hint="eastAsia" w:ascii="仿宋_GB2312" w:hAnsi="仿宋_GB2312" w:eastAsia="仿宋_GB2312" w:cs="仿宋_GB2312"/>
          <w:kern w:val="0"/>
          <w:sz w:val="32"/>
          <w:szCs w:val="32"/>
          <w:lang w:val="en-US" w:eastAsia="zh-CN" w:bidi="en-US"/>
        </w:rPr>
        <w:t>附件3</w:t>
      </w:r>
    </w:p>
    <w:p>
      <w:pPr>
        <w:keepNext w:val="0"/>
        <w:keepLines w:val="0"/>
        <w:pageBreakBefore w:val="0"/>
        <w:widowControl/>
        <w:kinsoku/>
        <w:wordWrap/>
        <w:overflowPunct/>
        <w:topLinePunct w:val="0"/>
        <w:autoSpaceDE/>
        <w:autoSpaceDN/>
        <w:bidi w:val="0"/>
        <w:adjustRightInd/>
        <w:snapToGrid/>
        <w:spacing w:after="200" w:line="660" w:lineRule="exact"/>
        <w:jc w:val="center"/>
        <w:textAlignment w:val="auto"/>
        <w:rPr>
          <w:rFonts w:hint="eastAsia" w:ascii="方正大标宋简体" w:hAnsi="方正大标宋简体" w:eastAsia="方正大标宋简体" w:cs="方正大标宋简体"/>
          <w:kern w:val="0"/>
          <w:sz w:val="44"/>
          <w:szCs w:val="44"/>
          <w:lang w:bidi="en-US"/>
        </w:rPr>
      </w:pPr>
      <w:r>
        <w:rPr>
          <w:rFonts w:hint="eastAsia" w:ascii="方正大标宋简体" w:hAnsi="方正大标宋简体" w:eastAsia="方正大标宋简体" w:cs="方正大标宋简体"/>
          <w:kern w:val="0"/>
          <w:sz w:val="44"/>
          <w:szCs w:val="44"/>
          <w:lang w:bidi="en-US"/>
        </w:rPr>
        <w:t>三门峡市财政信息</w:t>
      </w:r>
      <w:r>
        <w:rPr>
          <w:rFonts w:hint="eastAsia" w:ascii="方正大标宋简体" w:hAnsi="方正大标宋简体" w:eastAsia="方正大标宋简体" w:cs="方正大标宋简体"/>
          <w:kern w:val="0"/>
          <w:sz w:val="44"/>
          <w:szCs w:val="44"/>
          <w:lang w:val="en-US" w:eastAsia="zh-CN" w:bidi="en-US"/>
        </w:rPr>
        <w:t>工作暨网络安全</w:t>
      </w:r>
      <w:r>
        <w:rPr>
          <w:rFonts w:hint="eastAsia" w:ascii="方正大标宋简体" w:hAnsi="方正大标宋简体" w:eastAsia="方正大标宋简体" w:cs="方正大标宋简体"/>
          <w:kern w:val="0"/>
          <w:sz w:val="44"/>
          <w:szCs w:val="44"/>
          <w:lang w:bidi="en-US"/>
        </w:rPr>
        <w:t>通报</w:t>
      </w:r>
    </w:p>
    <w:p>
      <w:pPr>
        <w:keepNext w:val="0"/>
        <w:keepLines w:val="0"/>
        <w:pageBreakBefore w:val="0"/>
        <w:widowControl/>
        <w:kinsoku/>
        <w:wordWrap/>
        <w:overflowPunct/>
        <w:topLinePunct w:val="0"/>
        <w:autoSpaceDE/>
        <w:autoSpaceDN/>
        <w:bidi w:val="0"/>
        <w:adjustRightInd/>
        <w:snapToGrid/>
        <w:spacing w:after="200" w:line="660" w:lineRule="exact"/>
        <w:jc w:val="center"/>
        <w:textAlignment w:val="auto"/>
        <w:rPr>
          <w:rFonts w:hint="eastAsia" w:ascii="方正大标宋简体" w:hAnsi="方正大标宋简体" w:eastAsia="方正大标宋简体" w:cs="方正大标宋简体"/>
          <w:kern w:val="0"/>
          <w:sz w:val="44"/>
          <w:szCs w:val="44"/>
          <w:lang w:bidi="en-US"/>
        </w:rPr>
      </w:pPr>
      <w:r>
        <w:rPr>
          <w:rFonts w:hint="eastAsia" w:ascii="方正大标宋简体" w:hAnsi="方正大标宋简体" w:eastAsia="方正大标宋简体" w:cs="方正大标宋简体"/>
          <w:kern w:val="0"/>
          <w:sz w:val="44"/>
          <w:szCs w:val="44"/>
          <w:lang w:val="en-US" w:eastAsia="zh-CN" w:bidi="en-US"/>
        </w:rPr>
        <w:t>测评</w:t>
      </w:r>
      <w:r>
        <w:rPr>
          <w:rFonts w:hint="eastAsia" w:ascii="方正大标宋简体" w:hAnsi="方正大标宋简体" w:eastAsia="方正大标宋简体" w:cs="方正大标宋简体"/>
          <w:kern w:val="0"/>
          <w:sz w:val="44"/>
          <w:szCs w:val="44"/>
          <w:lang w:bidi="en-US"/>
        </w:rPr>
        <w:t>指标</w:t>
      </w:r>
    </w:p>
    <w:p>
      <w:pPr>
        <w:widowControl/>
        <w:spacing w:after="200" w:line="276" w:lineRule="auto"/>
        <w:ind w:firstLine="320" w:firstLineChars="100"/>
        <w:jc w:val="left"/>
        <w:rPr>
          <w:rFonts w:ascii="仿宋" w:hAnsi="仿宋" w:eastAsia="仿宋"/>
          <w:kern w:val="0"/>
          <w:sz w:val="32"/>
          <w:szCs w:val="32"/>
          <w:lang w:bidi="en-US"/>
        </w:rPr>
      </w:pPr>
      <w:r>
        <w:rPr>
          <w:rFonts w:hint="eastAsia" w:ascii="仿宋" w:hAnsi="仿宋" w:eastAsia="仿宋"/>
          <w:kern w:val="0"/>
          <w:sz w:val="32"/>
          <w:szCs w:val="32"/>
          <w:lang w:bidi="en-US"/>
        </w:rPr>
        <w:t xml:space="preserve">  根据省厅财政网络与信息安全暨</w:t>
      </w:r>
      <w:r>
        <w:rPr>
          <w:rFonts w:ascii="仿宋" w:hAnsi="仿宋" w:eastAsia="仿宋"/>
          <w:kern w:val="0"/>
          <w:sz w:val="32"/>
          <w:szCs w:val="32"/>
          <w:lang w:bidi="en-US"/>
        </w:rPr>
        <w:t>对</w:t>
      </w:r>
      <w:r>
        <w:rPr>
          <w:rFonts w:hint="eastAsia" w:ascii="仿宋" w:hAnsi="仿宋" w:eastAsia="仿宋"/>
          <w:kern w:val="0"/>
          <w:sz w:val="32"/>
          <w:szCs w:val="32"/>
          <w:lang w:bidi="en-US"/>
        </w:rPr>
        <w:t>信</w:t>
      </w:r>
      <w:r>
        <w:rPr>
          <w:rFonts w:ascii="仿宋" w:hAnsi="仿宋" w:eastAsia="仿宋"/>
          <w:kern w:val="0"/>
          <w:sz w:val="32"/>
          <w:szCs w:val="32"/>
          <w:lang w:bidi="en-US"/>
        </w:rPr>
        <w:t>息通报机制</w:t>
      </w:r>
      <w:r>
        <w:rPr>
          <w:rFonts w:hint="eastAsia" w:ascii="仿宋" w:hAnsi="仿宋" w:eastAsia="仿宋"/>
          <w:kern w:val="0"/>
          <w:sz w:val="32"/>
          <w:szCs w:val="32"/>
          <w:lang w:val="en-US" w:eastAsia="zh-CN" w:bidi="en-US"/>
        </w:rPr>
        <w:t>我</w:t>
      </w:r>
      <w:r>
        <w:rPr>
          <w:rFonts w:ascii="仿宋" w:hAnsi="仿宋" w:eastAsia="仿宋"/>
          <w:kern w:val="0"/>
          <w:sz w:val="32"/>
          <w:szCs w:val="32"/>
          <w:lang w:bidi="en-US"/>
        </w:rPr>
        <w:t>市的工作要求，</w:t>
      </w:r>
      <w:r>
        <w:rPr>
          <w:rFonts w:hint="eastAsia" w:ascii="仿宋" w:hAnsi="仿宋" w:eastAsia="仿宋"/>
          <w:kern w:val="0"/>
          <w:sz w:val="32"/>
          <w:szCs w:val="32"/>
          <w:lang w:bidi="en-US"/>
        </w:rPr>
        <w:t>特制定三门峡市财政网络与信息安全</w:t>
      </w:r>
      <w:r>
        <w:rPr>
          <w:rFonts w:hint="eastAsia" w:ascii="仿宋" w:hAnsi="仿宋" w:eastAsia="仿宋"/>
          <w:kern w:val="0"/>
          <w:sz w:val="32"/>
          <w:szCs w:val="32"/>
          <w:lang w:val="en-US" w:eastAsia="zh-CN" w:bidi="en-US"/>
        </w:rPr>
        <w:t>暨</w:t>
      </w:r>
      <w:r>
        <w:rPr>
          <w:rFonts w:hint="eastAsia" w:ascii="仿宋" w:hAnsi="仿宋" w:eastAsia="仿宋"/>
          <w:kern w:val="0"/>
          <w:sz w:val="32"/>
          <w:szCs w:val="32"/>
          <w:lang w:bidi="en-US"/>
        </w:rPr>
        <w:t>信息通报</w:t>
      </w:r>
      <w:r>
        <w:rPr>
          <w:rFonts w:hint="eastAsia" w:ascii="仿宋" w:hAnsi="仿宋" w:eastAsia="仿宋"/>
          <w:kern w:val="0"/>
          <w:sz w:val="32"/>
          <w:szCs w:val="32"/>
          <w:lang w:val="en-US" w:eastAsia="zh-CN" w:bidi="en-US"/>
        </w:rPr>
        <w:t>测评</w:t>
      </w:r>
      <w:r>
        <w:rPr>
          <w:rFonts w:hint="eastAsia" w:ascii="仿宋" w:hAnsi="仿宋" w:eastAsia="仿宋"/>
          <w:kern w:val="0"/>
          <w:sz w:val="32"/>
          <w:szCs w:val="32"/>
          <w:lang w:bidi="en-US"/>
        </w:rPr>
        <w:t>指标。按照</w:t>
      </w:r>
      <w:r>
        <w:rPr>
          <w:rFonts w:ascii="仿宋" w:hAnsi="仿宋" w:eastAsia="仿宋"/>
          <w:kern w:val="0"/>
          <w:sz w:val="32"/>
          <w:szCs w:val="32"/>
          <w:lang w:bidi="en-US"/>
        </w:rPr>
        <w:t>分项</w:t>
      </w:r>
      <w:r>
        <w:rPr>
          <w:rFonts w:hint="eastAsia" w:ascii="仿宋" w:hAnsi="仿宋" w:eastAsia="仿宋"/>
          <w:kern w:val="0"/>
          <w:sz w:val="32"/>
          <w:szCs w:val="32"/>
          <w:lang w:val="en-US" w:eastAsia="zh-CN" w:bidi="en-US"/>
        </w:rPr>
        <w:t>测评</w:t>
      </w:r>
      <w:r>
        <w:rPr>
          <w:rFonts w:ascii="仿宋" w:hAnsi="仿宋" w:eastAsia="仿宋"/>
          <w:kern w:val="0"/>
          <w:sz w:val="32"/>
          <w:szCs w:val="32"/>
          <w:lang w:bidi="en-US"/>
        </w:rPr>
        <w:t>原则，采用积分制</w:t>
      </w:r>
      <w:r>
        <w:rPr>
          <w:rFonts w:hint="eastAsia" w:ascii="仿宋" w:hAnsi="仿宋" w:eastAsia="仿宋"/>
          <w:kern w:val="0"/>
          <w:sz w:val="32"/>
          <w:szCs w:val="32"/>
          <w:lang w:val="en-US" w:eastAsia="zh-CN" w:bidi="en-US"/>
        </w:rPr>
        <w:t>测评</w:t>
      </w:r>
      <w:r>
        <w:rPr>
          <w:rFonts w:ascii="仿宋" w:hAnsi="仿宋" w:eastAsia="仿宋"/>
          <w:kern w:val="0"/>
          <w:sz w:val="32"/>
          <w:szCs w:val="32"/>
          <w:lang w:bidi="en-US"/>
        </w:rPr>
        <w:t>，总分积分</w:t>
      </w:r>
      <w:r>
        <w:rPr>
          <w:rFonts w:hint="eastAsia" w:ascii="仿宋" w:hAnsi="仿宋" w:eastAsia="仿宋"/>
          <w:kern w:val="0"/>
          <w:sz w:val="32"/>
          <w:szCs w:val="32"/>
          <w:lang w:bidi="en-US"/>
        </w:rPr>
        <w:t>靠</w:t>
      </w:r>
      <w:r>
        <w:rPr>
          <w:rFonts w:ascii="仿宋" w:hAnsi="仿宋" w:eastAsia="仿宋"/>
          <w:kern w:val="0"/>
          <w:sz w:val="32"/>
          <w:szCs w:val="32"/>
          <w:lang w:bidi="en-US"/>
        </w:rPr>
        <w:t>前的单位，</w:t>
      </w:r>
      <w:r>
        <w:rPr>
          <w:rFonts w:hint="eastAsia" w:ascii="仿宋" w:hAnsi="仿宋" w:eastAsia="仿宋"/>
          <w:kern w:val="0"/>
          <w:sz w:val="32"/>
          <w:szCs w:val="32"/>
          <w:lang w:val="en-US" w:eastAsia="zh-CN" w:bidi="en-US"/>
        </w:rPr>
        <w:t>做</w:t>
      </w:r>
      <w:r>
        <w:rPr>
          <w:rFonts w:ascii="仿宋" w:hAnsi="仿宋" w:eastAsia="仿宋"/>
          <w:kern w:val="0"/>
          <w:sz w:val="32"/>
          <w:szCs w:val="32"/>
          <w:lang w:bidi="en-US"/>
        </w:rPr>
        <w:t>为</w:t>
      </w:r>
      <w:r>
        <w:rPr>
          <w:rFonts w:hint="eastAsia" w:ascii="仿宋" w:hAnsi="仿宋" w:eastAsia="仿宋"/>
          <w:kern w:val="0"/>
          <w:sz w:val="32"/>
          <w:szCs w:val="32"/>
          <w:lang w:bidi="en-US"/>
        </w:rPr>
        <w:t>信息</w:t>
      </w:r>
      <w:r>
        <w:rPr>
          <w:rFonts w:hint="eastAsia" w:ascii="仿宋" w:hAnsi="仿宋" w:eastAsia="仿宋"/>
          <w:kern w:val="0"/>
          <w:sz w:val="32"/>
          <w:szCs w:val="32"/>
          <w:lang w:val="en-US" w:eastAsia="zh-CN" w:bidi="en-US"/>
        </w:rPr>
        <w:t>安全</w:t>
      </w:r>
      <w:r>
        <w:rPr>
          <w:rFonts w:hint="eastAsia" w:ascii="仿宋" w:hAnsi="仿宋" w:eastAsia="仿宋"/>
          <w:kern w:val="0"/>
          <w:sz w:val="32"/>
          <w:szCs w:val="32"/>
          <w:lang w:bidi="en-US"/>
        </w:rPr>
        <w:t>工作</w:t>
      </w:r>
      <w:r>
        <w:rPr>
          <w:rFonts w:ascii="仿宋" w:hAnsi="仿宋" w:eastAsia="仿宋"/>
          <w:kern w:val="0"/>
          <w:sz w:val="32"/>
          <w:szCs w:val="32"/>
          <w:lang w:bidi="en-US"/>
        </w:rPr>
        <w:t>年度先进单位</w:t>
      </w:r>
      <w:r>
        <w:rPr>
          <w:rFonts w:hint="eastAsia" w:ascii="仿宋" w:hAnsi="仿宋" w:eastAsia="仿宋"/>
          <w:kern w:val="0"/>
          <w:sz w:val="32"/>
          <w:szCs w:val="32"/>
          <w:lang w:val="en-US" w:eastAsia="zh-CN" w:bidi="en-US"/>
        </w:rPr>
        <w:t>重要指标</w:t>
      </w:r>
      <w:r>
        <w:rPr>
          <w:rFonts w:ascii="仿宋" w:hAnsi="仿宋" w:eastAsia="仿宋"/>
          <w:kern w:val="0"/>
          <w:sz w:val="32"/>
          <w:szCs w:val="32"/>
          <w:lang w:bidi="en-US"/>
        </w:rPr>
        <w:t>。</w:t>
      </w:r>
    </w:p>
    <w:p>
      <w:pPr>
        <w:widowControl/>
        <w:spacing w:after="200" w:line="276" w:lineRule="auto"/>
        <w:ind w:firstLine="320" w:firstLineChars="100"/>
        <w:jc w:val="left"/>
        <w:rPr>
          <w:rFonts w:hint="eastAsia" w:ascii="仿宋" w:hAnsi="仿宋" w:eastAsia="仿宋"/>
          <w:kern w:val="0"/>
          <w:sz w:val="32"/>
          <w:szCs w:val="32"/>
          <w:lang w:val="en-US" w:eastAsia="zh-CN" w:bidi="en-US"/>
        </w:rPr>
      </w:pPr>
      <w:r>
        <w:rPr>
          <w:rFonts w:hint="eastAsia" w:ascii="仿宋" w:hAnsi="仿宋" w:eastAsia="仿宋"/>
          <w:kern w:val="0"/>
          <w:sz w:val="32"/>
          <w:szCs w:val="32"/>
          <w:lang w:bidi="en-US"/>
        </w:rPr>
        <w:t xml:space="preserve">  </w:t>
      </w:r>
      <w:r>
        <w:rPr>
          <w:rFonts w:hint="eastAsia" w:ascii="仿宋" w:hAnsi="仿宋" w:eastAsia="仿宋"/>
          <w:kern w:val="0"/>
          <w:sz w:val="32"/>
          <w:szCs w:val="32"/>
          <w:lang w:val="en-US" w:eastAsia="zh-CN" w:bidi="en-US"/>
        </w:rPr>
        <w:t>测评</w:t>
      </w:r>
      <w:r>
        <w:rPr>
          <w:rFonts w:ascii="仿宋" w:hAnsi="仿宋" w:eastAsia="仿宋"/>
          <w:kern w:val="0"/>
          <w:sz w:val="32"/>
          <w:szCs w:val="32"/>
          <w:lang w:bidi="en-US"/>
        </w:rPr>
        <w:t>项目分为</w:t>
      </w:r>
      <w:r>
        <w:rPr>
          <w:rFonts w:hint="eastAsia" w:ascii="仿宋" w:hAnsi="仿宋" w:eastAsia="仿宋"/>
          <w:kern w:val="0"/>
          <w:sz w:val="32"/>
          <w:szCs w:val="32"/>
          <w:lang w:val="en-US" w:eastAsia="zh-CN" w:bidi="en-US"/>
        </w:rPr>
        <w:t>预算管理一体化考核</w:t>
      </w:r>
      <w:r>
        <w:rPr>
          <w:rFonts w:hint="eastAsia" w:ascii="仿宋" w:hAnsi="仿宋" w:eastAsia="仿宋"/>
          <w:kern w:val="0"/>
          <w:sz w:val="32"/>
          <w:szCs w:val="32"/>
          <w:lang w:eastAsia="zh-CN" w:bidi="en-US"/>
        </w:rPr>
        <w:t>、</w:t>
      </w:r>
      <w:r>
        <w:rPr>
          <w:rFonts w:hint="eastAsia" w:ascii="仿宋" w:hAnsi="仿宋" w:eastAsia="仿宋"/>
          <w:kern w:val="0"/>
          <w:sz w:val="32"/>
          <w:szCs w:val="32"/>
          <w:lang w:bidi="en-US"/>
        </w:rPr>
        <w:t>网络安全体系建设</w:t>
      </w:r>
      <w:r>
        <w:rPr>
          <w:rFonts w:hint="eastAsia" w:ascii="仿宋" w:hAnsi="仿宋" w:eastAsia="仿宋"/>
          <w:kern w:val="0"/>
          <w:sz w:val="32"/>
          <w:szCs w:val="32"/>
          <w:lang w:eastAsia="zh-CN" w:bidi="en-US"/>
        </w:rPr>
        <w:t>、</w:t>
      </w:r>
      <w:r>
        <w:rPr>
          <w:rFonts w:hint="eastAsia" w:ascii="仿宋" w:hAnsi="仿宋" w:eastAsia="仿宋"/>
          <w:kern w:val="0"/>
          <w:sz w:val="32"/>
          <w:szCs w:val="32"/>
          <w:lang w:bidi="en-US"/>
        </w:rPr>
        <w:t>个人计算机安全管理</w:t>
      </w:r>
      <w:r>
        <w:rPr>
          <w:rFonts w:hint="eastAsia" w:ascii="仿宋" w:hAnsi="仿宋" w:eastAsia="仿宋"/>
          <w:kern w:val="0"/>
          <w:sz w:val="32"/>
          <w:szCs w:val="32"/>
          <w:lang w:eastAsia="zh-CN" w:bidi="en-US"/>
        </w:rPr>
        <w:t>、</w:t>
      </w:r>
      <w:r>
        <w:rPr>
          <w:rFonts w:hint="eastAsia" w:ascii="仿宋" w:hAnsi="仿宋" w:eastAsia="仿宋"/>
          <w:kern w:val="0"/>
          <w:sz w:val="32"/>
          <w:szCs w:val="32"/>
          <w:lang w:bidi="en-US"/>
        </w:rPr>
        <w:t>信息资产识别</w:t>
      </w:r>
      <w:r>
        <w:rPr>
          <w:rFonts w:hint="eastAsia" w:ascii="仿宋" w:hAnsi="仿宋" w:eastAsia="仿宋"/>
          <w:kern w:val="0"/>
          <w:sz w:val="32"/>
          <w:szCs w:val="32"/>
          <w:lang w:eastAsia="zh-CN" w:bidi="en-US"/>
        </w:rPr>
        <w:t>、</w:t>
      </w:r>
      <w:r>
        <w:rPr>
          <w:rFonts w:hint="eastAsia" w:ascii="仿宋" w:hAnsi="仿宋" w:eastAsia="仿宋"/>
          <w:kern w:val="0"/>
          <w:sz w:val="32"/>
          <w:szCs w:val="32"/>
          <w:lang w:bidi="en-US"/>
        </w:rPr>
        <w:t>业务系统密码安全管理</w:t>
      </w:r>
      <w:r>
        <w:rPr>
          <w:rFonts w:hint="eastAsia" w:ascii="仿宋" w:hAnsi="仿宋" w:eastAsia="仿宋"/>
          <w:kern w:val="0"/>
          <w:sz w:val="32"/>
          <w:szCs w:val="32"/>
          <w:lang w:eastAsia="zh-CN" w:bidi="en-US"/>
        </w:rPr>
        <w:t>、</w:t>
      </w:r>
      <w:r>
        <w:rPr>
          <w:rFonts w:hint="eastAsia" w:ascii="仿宋" w:hAnsi="仿宋" w:eastAsia="仿宋"/>
          <w:kern w:val="0"/>
          <w:sz w:val="32"/>
          <w:szCs w:val="32"/>
          <w:lang w:bidi="en-US"/>
        </w:rPr>
        <w:t>应急处置管理</w:t>
      </w:r>
      <w:r>
        <w:rPr>
          <w:rFonts w:hint="eastAsia" w:ascii="仿宋" w:hAnsi="仿宋" w:eastAsia="仿宋"/>
          <w:kern w:val="0"/>
          <w:sz w:val="32"/>
          <w:szCs w:val="32"/>
          <w:lang w:eastAsia="zh-CN" w:bidi="en-US"/>
        </w:rPr>
        <w:t>、</w:t>
      </w:r>
      <w:r>
        <w:rPr>
          <w:rFonts w:hint="eastAsia" w:ascii="仿宋" w:hAnsi="仿宋" w:eastAsia="仿宋"/>
          <w:kern w:val="0"/>
          <w:sz w:val="32"/>
          <w:szCs w:val="32"/>
          <w:lang w:bidi="en-US"/>
        </w:rPr>
        <w:t>组织活动和工作部署</w:t>
      </w:r>
      <w:r>
        <w:rPr>
          <w:rFonts w:ascii="仿宋" w:hAnsi="仿宋" w:eastAsia="仿宋"/>
          <w:kern w:val="0"/>
          <w:sz w:val="32"/>
          <w:szCs w:val="32"/>
          <w:lang w:bidi="en-US"/>
        </w:rPr>
        <w:t>等内</w:t>
      </w:r>
      <w:r>
        <w:rPr>
          <w:rFonts w:hint="eastAsia" w:ascii="仿宋" w:hAnsi="仿宋" w:eastAsia="仿宋"/>
          <w:kern w:val="0"/>
          <w:sz w:val="32"/>
          <w:szCs w:val="32"/>
          <w:lang w:bidi="en-US"/>
        </w:rPr>
        <w:t>容</w:t>
      </w:r>
      <w:r>
        <w:rPr>
          <w:rFonts w:ascii="仿宋" w:hAnsi="仿宋" w:eastAsia="仿宋"/>
          <w:kern w:val="0"/>
          <w:sz w:val="32"/>
          <w:szCs w:val="32"/>
          <w:lang w:bidi="en-US"/>
        </w:rPr>
        <w:t>，</w:t>
      </w:r>
      <w:r>
        <w:rPr>
          <w:rFonts w:hint="eastAsia" w:ascii="仿宋" w:hAnsi="仿宋" w:eastAsia="仿宋"/>
          <w:kern w:val="0"/>
          <w:sz w:val="32"/>
          <w:szCs w:val="32"/>
          <w:lang w:val="en-US" w:eastAsia="zh-CN" w:bidi="en-US"/>
        </w:rPr>
        <w:t>基础总分为100分，</w:t>
      </w:r>
      <w:r>
        <w:rPr>
          <w:rFonts w:hint="eastAsia" w:ascii="仿宋" w:hAnsi="仿宋" w:eastAsia="仿宋"/>
          <w:kern w:val="0"/>
          <w:sz w:val="32"/>
          <w:szCs w:val="32"/>
          <w:lang w:bidi="en-US"/>
        </w:rPr>
        <w:t>具</w:t>
      </w:r>
      <w:r>
        <w:rPr>
          <w:rFonts w:ascii="仿宋" w:hAnsi="仿宋" w:eastAsia="仿宋"/>
          <w:kern w:val="0"/>
          <w:sz w:val="32"/>
          <w:szCs w:val="32"/>
          <w:lang w:bidi="en-US"/>
        </w:rPr>
        <w:t>体</w:t>
      </w:r>
      <w:r>
        <w:rPr>
          <w:rFonts w:hint="eastAsia" w:ascii="仿宋" w:hAnsi="仿宋" w:eastAsia="仿宋"/>
          <w:kern w:val="0"/>
          <w:sz w:val="32"/>
          <w:szCs w:val="32"/>
          <w:lang w:val="en-US" w:eastAsia="zh-CN" w:bidi="en-US"/>
        </w:rPr>
        <w:t>测评</w:t>
      </w:r>
      <w:r>
        <w:rPr>
          <w:rFonts w:ascii="仿宋" w:hAnsi="仿宋" w:eastAsia="仿宋"/>
          <w:kern w:val="0"/>
          <w:sz w:val="32"/>
          <w:szCs w:val="32"/>
          <w:lang w:bidi="en-US"/>
        </w:rPr>
        <w:t>要求如下</w:t>
      </w:r>
      <w:r>
        <w:rPr>
          <w:rFonts w:hint="eastAsia" w:ascii="仿宋" w:hAnsi="仿宋" w:eastAsia="仿宋"/>
          <w:kern w:val="0"/>
          <w:sz w:val="32"/>
          <w:szCs w:val="32"/>
          <w:lang w:val="en-US" w:eastAsia="zh-CN" w:bidi="en-US"/>
        </w:rPr>
        <w:t>列表格</w:t>
      </w:r>
      <w:bookmarkStart w:id="2" w:name="_Toc531275736"/>
      <w:bookmarkStart w:id="3" w:name="_Toc2694156"/>
      <w:r>
        <w:rPr>
          <w:rFonts w:hint="eastAsia" w:ascii="仿宋" w:hAnsi="仿宋" w:eastAsia="仿宋"/>
          <w:kern w:val="0"/>
          <w:sz w:val="32"/>
          <w:szCs w:val="32"/>
          <w:lang w:val="en-US" w:eastAsia="zh-CN" w:bidi="en-US"/>
        </w:rPr>
        <w:t>。（表格附后）</w:t>
      </w:r>
    </w:p>
    <w:p>
      <w:pPr>
        <w:widowControl/>
        <w:spacing w:after="200" w:line="276" w:lineRule="auto"/>
        <w:ind w:firstLine="320" w:firstLineChars="100"/>
        <w:jc w:val="left"/>
        <w:rPr>
          <w:rFonts w:hint="eastAsia" w:ascii="仿宋" w:hAnsi="仿宋" w:eastAsia="仿宋"/>
          <w:kern w:val="0"/>
          <w:sz w:val="32"/>
          <w:szCs w:val="32"/>
          <w:lang w:val="en-US" w:eastAsia="zh-CN" w:bidi="en-US"/>
        </w:rPr>
      </w:pPr>
    </w:p>
    <w:p>
      <w:pPr>
        <w:widowControl/>
        <w:spacing w:after="200" w:line="276" w:lineRule="auto"/>
        <w:ind w:firstLine="5120" w:firstLineChars="1600"/>
        <w:jc w:val="left"/>
        <w:rPr>
          <w:rFonts w:hint="eastAsia" w:ascii="仿宋" w:hAnsi="仿宋" w:eastAsia="仿宋"/>
          <w:kern w:val="0"/>
          <w:sz w:val="32"/>
          <w:szCs w:val="32"/>
          <w:lang w:val="en-US" w:eastAsia="zh-CN" w:bidi="en-US"/>
        </w:rPr>
      </w:pPr>
      <w:r>
        <w:rPr>
          <w:rFonts w:hint="eastAsia" w:ascii="仿宋" w:hAnsi="仿宋" w:eastAsia="仿宋"/>
          <w:kern w:val="0"/>
          <w:sz w:val="32"/>
          <w:szCs w:val="32"/>
          <w:lang w:val="en-US" w:eastAsia="zh-CN" w:bidi="en-US"/>
        </w:rPr>
        <w:t>2024年11月1日</w:t>
      </w:r>
    </w:p>
    <w:p>
      <w:pPr>
        <w:widowControl/>
        <w:spacing w:after="200" w:line="276" w:lineRule="auto"/>
        <w:ind w:firstLine="320" w:firstLineChars="100"/>
        <w:jc w:val="left"/>
        <w:rPr>
          <w:rFonts w:ascii="仿宋" w:hAnsi="仿宋" w:eastAsia="仿宋"/>
          <w:kern w:val="0"/>
          <w:sz w:val="32"/>
          <w:szCs w:val="32"/>
          <w:lang w:bidi="en-US"/>
        </w:rPr>
      </w:pPr>
    </w:p>
    <w:p>
      <w:pPr>
        <w:widowControl/>
        <w:spacing w:after="200" w:line="276" w:lineRule="auto"/>
        <w:ind w:firstLine="320" w:firstLineChars="100"/>
        <w:jc w:val="left"/>
        <w:rPr>
          <w:rFonts w:ascii="仿宋" w:hAnsi="仿宋" w:eastAsia="仿宋"/>
          <w:kern w:val="0"/>
          <w:sz w:val="32"/>
          <w:szCs w:val="32"/>
          <w:lang w:bidi="en-US"/>
        </w:rPr>
      </w:pPr>
    </w:p>
    <w:p>
      <w:pPr>
        <w:widowControl/>
        <w:spacing w:after="200" w:line="276" w:lineRule="auto"/>
        <w:ind w:firstLine="320" w:firstLineChars="100"/>
        <w:jc w:val="left"/>
        <w:rPr>
          <w:rFonts w:ascii="仿宋" w:hAnsi="仿宋" w:eastAsia="仿宋"/>
          <w:kern w:val="0"/>
          <w:sz w:val="32"/>
          <w:szCs w:val="32"/>
          <w:lang w:bidi="en-US"/>
        </w:rPr>
      </w:pPr>
    </w:p>
    <w:p>
      <w:pPr>
        <w:widowControl/>
        <w:spacing w:after="200" w:line="276" w:lineRule="auto"/>
        <w:jc w:val="left"/>
        <w:rPr>
          <w:rFonts w:hint="eastAsia" w:ascii="仿宋" w:hAnsi="仿宋" w:eastAsia="仿宋"/>
          <w:kern w:val="0"/>
          <w:sz w:val="32"/>
          <w:szCs w:val="32"/>
          <w:lang w:bidi="en-US"/>
        </w:rPr>
      </w:pPr>
    </w:p>
    <w:p>
      <w:pPr>
        <w:pStyle w:val="2"/>
        <w:keepNext/>
        <w:keepLines/>
        <w:numPr>
          <w:ilvl w:val="2"/>
          <w:numId w:val="0"/>
        </w:numPr>
        <w:spacing w:beforeLines="50" w:afterLines="50" w:line="600" w:lineRule="exact"/>
        <w:ind w:firstLine="1650" w:firstLineChars="500"/>
        <w:jc w:val="both"/>
        <w:rPr>
          <w:rFonts w:hint="eastAsia" w:ascii="黑体" w:hAnsi="黑体" w:eastAsia="黑体" w:cs="黑体"/>
          <w:i w:val="0"/>
          <w:sz w:val="32"/>
          <w:szCs w:val="32"/>
        </w:rPr>
      </w:pPr>
      <w:r>
        <w:rPr>
          <w:rFonts w:hint="eastAsia" w:ascii="黑体" w:hAnsi="黑体" w:eastAsia="黑体" w:cs="黑体"/>
          <w:i w:val="0"/>
          <w:sz w:val="32"/>
          <w:szCs w:val="32"/>
        </w:rPr>
        <w:t>应急预案培训、审查记录表</w:t>
      </w:r>
      <w:bookmarkEnd w:id="2"/>
      <w:bookmarkEnd w:id="3"/>
    </w:p>
    <w:tbl>
      <w:tblPr>
        <w:tblStyle w:val="6"/>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130" w:type="dxa"/>
            <w:vAlign w:val="center"/>
          </w:tcPr>
          <w:p>
            <w:pPr>
              <w:spacing w:line="600" w:lineRule="exact"/>
              <w:jc w:val="center"/>
              <w:rPr>
                <w:rFonts w:ascii="宋体" w:hAnsi="宋体"/>
              </w:rPr>
            </w:pPr>
            <w:r>
              <w:rPr>
                <w:rFonts w:hint="eastAsia" w:ascii="宋体" w:hAnsi="宋体"/>
              </w:rPr>
              <w:t>培训时间</w:t>
            </w:r>
          </w:p>
        </w:tc>
        <w:tc>
          <w:tcPr>
            <w:tcW w:w="2130" w:type="dxa"/>
            <w:vAlign w:val="center"/>
          </w:tcPr>
          <w:p>
            <w:pPr>
              <w:spacing w:line="600" w:lineRule="exact"/>
              <w:jc w:val="center"/>
              <w:rPr>
                <w:rFonts w:ascii="宋体" w:hAnsi="宋体"/>
              </w:rPr>
            </w:pPr>
          </w:p>
        </w:tc>
        <w:tc>
          <w:tcPr>
            <w:tcW w:w="2131" w:type="dxa"/>
            <w:vAlign w:val="center"/>
          </w:tcPr>
          <w:p>
            <w:pPr>
              <w:spacing w:line="600" w:lineRule="exact"/>
              <w:jc w:val="center"/>
              <w:rPr>
                <w:rFonts w:ascii="宋体" w:hAnsi="宋体"/>
              </w:rPr>
            </w:pPr>
            <w:r>
              <w:rPr>
                <w:rFonts w:hint="eastAsia" w:ascii="宋体" w:hAnsi="宋体"/>
              </w:rPr>
              <w:t>培训地点</w:t>
            </w:r>
          </w:p>
        </w:tc>
        <w:tc>
          <w:tcPr>
            <w:tcW w:w="2131" w:type="dxa"/>
            <w:vAlign w:val="center"/>
          </w:tcPr>
          <w:p>
            <w:pPr>
              <w:spacing w:line="600"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130" w:type="dxa"/>
            <w:vAlign w:val="center"/>
          </w:tcPr>
          <w:p>
            <w:pPr>
              <w:spacing w:line="600" w:lineRule="exact"/>
              <w:jc w:val="center"/>
              <w:rPr>
                <w:rFonts w:ascii="宋体" w:hAnsi="宋体"/>
              </w:rPr>
            </w:pPr>
            <w:r>
              <w:rPr>
                <w:rFonts w:hint="eastAsia" w:ascii="宋体" w:hAnsi="宋体"/>
              </w:rPr>
              <w:t>培训人员</w:t>
            </w:r>
          </w:p>
        </w:tc>
        <w:tc>
          <w:tcPr>
            <w:tcW w:w="2130" w:type="dxa"/>
            <w:vAlign w:val="center"/>
          </w:tcPr>
          <w:p>
            <w:pPr>
              <w:spacing w:line="600" w:lineRule="exact"/>
              <w:jc w:val="center"/>
              <w:rPr>
                <w:rFonts w:ascii="宋体" w:hAnsi="宋体"/>
              </w:rPr>
            </w:pPr>
          </w:p>
        </w:tc>
        <w:tc>
          <w:tcPr>
            <w:tcW w:w="2131" w:type="dxa"/>
            <w:vAlign w:val="center"/>
          </w:tcPr>
          <w:p>
            <w:pPr>
              <w:spacing w:line="600" w:lineRule="exact"/>
              <w:jc w:val="center"/>
              <w:rPr>
                <w:rFonts w:ascii="宋体" w:hAnsi="宋体"/>
              </w:rPr>
            </w:pPr>
            <w:r>
              <w:rPr>
                <w:rFonts w:hint="eastAsia" w:ascii="宋体" w:hAnsi="宋体"/>
              </w:rPr>
              <w:t>培训方式</w:t>
            </w:r>
          </w:p>
        </w:tc>
        <w:tc>
          <w:tcPr>
            <w:tcW w:w="2131" w:type="dxa"/>
            <w:vAlign w:val="center"/>
          </w:tcPr>
          <w:p>
            <w:pPr>
              <w:spacing w:line="600"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53" w:hRule="atLeast"/>
          <w:jc w:val="center"/>
        </w:trPr>
        <w:tc>
          <w:tcPr>
            <w:tcW w:w="2130" w:type="dxa"/>
            <w:vAlign w:val="center"/>
          </w:tcPr>
          <w:p>
            <w:pPr>
              <w:spacing w:line="600" w:lineRule="exact"/>
              <w:jc w:val="center"/>
              <w:rPr>
                <w:rFonts w:ascii="宋体" w:hAnsi="宋体"/>
              </w:rPr>
            </w:pPr>
            <w:r>
              <w:rPr>
                <w:rFonts w:hint="eastAsia" w:ascii="宋体" w:hAnsi="宋体"/>
              </w:rPr>
              <w:t>参与部门</w:t>
            </w:r>
          </w:p>
        </w:tc>
        <w:tc>
          <w:tcPr>
            <w:tcW w:w="6392" w:type="dxa"/>
            <w:gridSpan w:val="3"/>
            <w:vAlign w:val="center"/>
          </w:tcPr>
          <w:p>
            <w:pPr>
              <w:spacing w:line="600"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96" w:hRule="atLeast"/>
          <w:jc w:val="center"/>
        </w:trPr>
        <w:tc>
          <w:tcPr>
            <w:tcW w:w="2130" w:type="dxa"/>
            <w:vAlign w:val="center"/>
          </w:tcPr>
          <w:p>
            <w:pPr>
              <w:spacing w:line="600" w:lineRule="exact"/>
              <w:jc w:val="center"/>
              <w:rPr>
                <w:rFonts w:ascii="宋体" w:hAnsi="宋体"/>
              </w:rPr>
            </w:pPr>
            <w:r>
              <w:rPr>
                <w:rFonts w:hint="eastAsia" w:ascii="宋体" w:hAnsi="宋体"/>
              </w:rPr>
              <w:t>参与人员</w:t>
            </w:r>
          </w:p>
        </w:tc>
        <w:tc>
          <w:tcPr>
            <w:tcW w:w="6392" w:type="dxa"/>
            <w:gridSpan w:val="3"/>
            <w:vAlign w:val="center"/>
          </w:tcPr>
          <w:p>
            <w:pPr>
              <w:spacing w:line="600"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8522" w:type="dxa"/>
            <w:gridSpan w:val="4"/>
            <w:vAlign w:val="center"/>
          </w:tcPr>
          <w:p>
            <w:pPr>
              <w:spacing w:line="600" w:lineRule="exact"/>
              <w:jc w:val="center"/>
              <w:rPr>
                <w:rFonts w:ascii="宋体" w:hAnsi="宋体"/>
              </w:rPr>
            </w:pPr>
            <w:r>
              <w:rPr>
                <w:rFonts w:hint="eastAsia" w:ascii="宋体" w:hAnsi="宋体"/>
              </w:rPr>
              <w:t>培训内容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60" w:hRule="atLeast"/>
          <w:jc w:val="center"/>
        </w:trPr>
        <w:tc>
          <w:tcPr>
            <w:tcW w:w="8522" w:type="dxa"/>
            <w:gridSpan w:val="4"/>
            <w:vAlign w:val="center"/>
          </w:tcPr>
          <w:p>
            <w:pPr>
              <w:spacing w:line="600"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130" w:type="dxa"/>
            <w:vAlign w:val="center"/>
          </w:tcPr>
          <w:p>
            <w:pPr>
              <w:spacing w:line="600" w:lineRule="exact"/>
              <w:jc w:val="center"/>
              <w:rPr>
                <w:rFonts w:ascii="宋体" w:hAnsi="宋体"/>
              </w:rPr>
            </w:pPr>
            <w:r>
              <w:rPr>
                <w:rFonts w:hint="eastAsia" w:ascii="宋体" w:hAnsi="宋体"/>
              </w:rPr>
              <w:t>审批人</w:t>
            </w:r>
          </w:p>
        </w:tc>
        <w:tc>
          <w:tcPr>
            <w:tcW w:w="2130" w:type="dxa"/>
            <w:vAlign w:val="center"/>
          </w:tcPr>
          <w:p>
            <w:pPr>
              <w:spacing w:line="600" w:lineRule="exact"/>
              <w:rPr>
                <w:rFonts w:ascii="宋体" w:hAnsi="宋体"/>
              </w:rPr>
            </w:pPr>
          </w:p>
        </w:tc>
        <w:tc>
          <w:tcPr>
            <w:tcW w:w="2131" w:type="dxa"/>
            <w:vAlign w:val="center"/>
          </w:tcPr>
          <w:p>
            <w:pPr>
              <w:spacing w:line="600" w:lineRule="exact"/>
              <w:rPr>
                <w:rFonts w:ascii="宋体" w:hAnsi="宋体"/>
              </w:rPr>
            </w:pPr>
            <w:r>
              <w:rPr>
                <w:rFonts w:hint="eastAsia" w:ascii="宋体" w:hAnsi="宋体"/>
              </w:rPr>
              <w:t>审批时间</w:t>
            </w:r>
          </w:p>
        </w:tc>
        <w:tc>
          <w:tcPr>
            <w:tcW w:w="2131" w:type="dxa"/>
            <w:vAlign w:val="center"/>
          </w:tcPr>
          <w:p>
            <w:pPr>
              <w:spacing w:line="600" w:lineRule="exact"/>
              <w:rPr>
                <w:rFonts w:ascii="宋体" w:hAnsi="宋体"/>
              </w:rPr>
            </w:pPr>
          </w:p>
        </w:tc>
      </w:tr>
    </w:tbl>
    <w:p>
      <w:pPr>
        <w:pStyle w:val="2"/>
        <w:keepNext/>
        <w:keepLines/>
        <w:numPr>
          <w:ilvl w:val="2"/>
          <w:numId w:val="0"/>
        </w:numPr>
        <w:spacing w:beforeLines="50" w:afterLines="50" w:line="600" w:lineRule="exact"/>
        <w:ind w:leftChars="0"/>
        <w:jc w:val="both"/>
        <w:rPr>
          <w:rFonts w:hint="eastAsia" w:ascii="宋体" w:hAnsi="宋体" w:eastAsia="黑体"/>
          <w:i w:val="0"/>
          <w:sz w:val="28"/>
          <w:szCs w:val="28"/>
          <w:lang w:val="en-US" w:eastAsia="zh-CN"/>
        </w:rPr>
      </w:pPr>
      <w:r>
        <w:rPr>
          <w:rFonts w:ascii="宋体" w:hAnsi="宋体"/>
          <w:i w:val="0"/>
          <w:sz w:val="28"/>
          <w:szCs w:val="28"/>
        </w:rPr>
        <w:br w:type="page"/>
      </w:r>
      <w:bookmarkStart w:id="4" w:name="_Toc2694157"/>
      <w:bookmarkStart w:id="5" w:name="_Toc531275737"/>
      <w:r>
        <w:rPr>
          <w:rFonts w:hint="eastAsia" w:ascii="宋体" w:hAnsi="宋体"/>
          <w:i w:val="0"/>
          <w:sz w:val="28"/>
          <w:szCs w:val="28"/>
          <w:lang w:val="en-US" w:eastAsia="zh-CN"/>
        </w:rPr>
        <w:t xml:space="preserve">                  </w:t>
      </w:r>
      <w:r>
        <w:rPr>
          <w:rFonts w:hint="eastAsia" w:ascii="黑体" w:hAnsi="黑体" w:eastAsia="黑体" w:cs="黑体"/>
          <w:i w:val="0"/>
          <w:sz w:val="32"/>
          <w:szCs w:val="32"/>
          <w:lang w:val="en-US" w:eastAsia="zh-CN"/>
        </w:rPr>
        <w:t xml:space="preserve">       </w:t>
      </w:r>
      <w:r>
        <w:rPr>
          <w:rFonts w:hint="eastAsia" w:ascii="黑体" w:hAnsi="黑体" w:eastAsia="黑体" w:cs="黑体"/>
          <w:i w:val="0"/>
          <w:sz w:val="32"/>
          <w:szCs w:val="32"/>
        </w:rPr>
        <w:t>应急预案演练记录</w:t>
      </w:r>
      <w:bookmarkEnd w:id="4"/>
      <w:bookmarkEnd w:id="5"/>
      <w:r>
        <w:rPr>
          <w:rFonts w:hint="eastAsia" w:ascii="黑体" w:hAnsi="黑体" w:eastAsia="黑体" w:cs="黑体"/>
          <w:i w:val="0"/>
          <w:sz w:val="32"/>
          <w:szCs w:val="32"/>
          <w:lang w:val="en-US" w:eastAsia="zh-CN"/>
        </w:rPr>
        <w:t>表</w:t>
      </w:r>
    </w:p>
    <w:tbl>
      <w:tblPr>
        <w:tblStyle w:val="6"/>
        <w:tblW w:w="82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0"/>
        <w:gridCol w:w="2268"/>
        <w:gridCol w:w="1744"/>
        <w:gridCol w:w="26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560" w:type="dxa"/>
            <w:tcBorders>
              <w:top w:val="single" w:color="000000" w:sz="4" w:space="0"/>
              <w:left w:val="single" w:color="000000" w:sz="4" w:space="0"/>
            </w:tcBorders>
            <w:vAlign w:val="center"/>
          </w:tcPr>
          <w:p>
            <w:pPr>
              <w:spacing w:line="600" w:lineRule="exact"/>
              <w:jc w:val="center"/>
              <w:rPr>
                <w:rFonts w:ascii="宋体" w:hAnsi="宋体"/>
              </w:rPr>
            </w:pPr>
            <w:r>
              <w:rPr>
                <w:rFonts w:hint="eastAsia" w:ascii="宋体" w:hAnsi="宋体"/>
              </w:rPr>
              <w:t>记录人</w:t>
            </w:r>
          </w:p>
        </w:tc>
        <w:tc>
          <w:tcPr>
            <w:tcW w:w="2268" w:type="dxa"/>
            <w:tcBorders>
              <w:top w:val="single" w:color="000000" w:sz="4" w:space="0"/>
            </w:tcBorders>
            <w:vAlign w:val="center"/>
          </w:tcPr>
          <w:p>
            <w:pPr>
              <w:spacing w:line="600" w:lineRule="exact"/>
              <w:jc w:val="center"/>
              <w:rPr>
                <w:rFonts w:ascii="宋体" w:hAnsi="宋体"/>
              </w:rPr>
            </w:pPr>
          </w:p>
        </w:tc>
        <w:tc>
          <w:tcPr>
            <w:tcW w:w="1744" w:type="dxa"/>
            <w:tcBorders>
              <w:top w:val="single" w:color="000000" w:sz="4" w:space="0"/>
            </w:tcBorders>
            <w:vAlign w:val="center"/>
          </w:tcPr>
          <w:p>
            <w:pPr>
              <w:spacing w:line="600" w:lineRule="exact"/>
              <w:jc w:val="center"/>
              <w:rPr>
                <w:rFonts w:ascii="宋体" w:hAnsi="宋体"/>
              </w:rPr>
            </w:pPr>
            <w:r>
              <w:rPr>
                <w:rFonts w:hint="eastAsia" w:ascii="宋体" w:hAnsi="宋体"/>
              </w:rPr>
              <w:t>记录时间</w:t>
            </w:r>
          </w:p>
        </w:tc>
        <w:tc>
          <w:tcPr>
            <w:tcW w:w="2650" w:type="dxa"/>
            <w:tcBorders>
              <w:top w:val="single" w:color="000000" w:sz="4" w:space="0"/>
              <w:right w:val="single" w:color="000000" w:sz="4" w:space="0"/>
            </w:tcBorders>
            <w:vAlign w:val="center"/>
          </w:tcPr>
          <w:p>
            <w:pPr>
              <w:spacing w:line="600" w:lineRule="exact"/>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82" w:hRule="atLeast"/>
          <w:jc w:val="center"/>
        </w:trPr>
        <w:tc>
          <w:tcPr>
            <w:tcW w:w="1560" w:type="dxa"/>
            <w:tcBorders>
              <w:left w:val="single" w:color="000000" w:sz="4" w:space="0"/>
            </w:tcBorders>
            <w:vAlign w:val="center"/>
          </w:tcPr>
          <w:p>
            <w:pPr>
              <w:spacing w:line="600" w:lineRule="exact"/>
              <w:jc w:val="center"/>
              <w:rPr>
                <w:rFonts w:ascii="宋体" w:hAnsi="宋体"/>
              </w:rPr>
            </w:pPr>
            <w:r>
              <w:rPr>
                <w:rFonts w:hint="eastAsia" w:ascii="宋体" w:hAnsi="宋体"/>
              </w:rPr>
              <w:t>演练地点</w:t>
            </w:r>
          </w:p>
        </w:tc>
        <w:tc>
          <w:tcPr>
            <w:tcW w:w="6662" w:type="dxa"/>
            <w:gridSpan w:val="3"/>
            <w:tcBorders>
              <w:right w:val="single" w:color="000000" w:sz="4" w:space="0"/>
            </w:tcBorders>
            <w:vAlign w:val="center"/>
          </w:tcPr>
          <w:p>
            <w:pPr>
              <w:spacing w:line="600" w:lineRule="exact"/>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85" w:hRule="atLeast"/>
          <w:jc w:val="center"/>
        </w:trPr>
        <w:tc>
          <w:tcPr>
            <w:tcW w:w="1560" w:type="dxa"/>
            <w:tcBorders>
              <w:left w:val="single" w:color="000000" w:sz="4" w:space="0"/>
            </w:tcBorders>
            <w:vAlign w:val="center"/>
          </w:tcPr>
          <w:p>
            <w:pPr>
              <w:spacing w:line="600" w:lineRule="exact"/>
              <w:jc w:val="center"/>
              <w:rPr>
                <w:rFonts w:ascii="宋体" w:hAnsi="宋体"/>
              </w:rPr>
            </w:pPr>
            <w:r>
              <w:rPr>
                <w:rFonts w:hint="eastAsia" w:ascii="宋体" w:hAnsi="宋体"/>
              </w:rPr>
              <w:t>参与部门</w:t>
            </w:r>
          </w:p>
        </w:tc>
        <w:tc>
          <w:tcPr>
            <w:tcW w:w="6662" w:type="dxa"/>
            <w:gridSpan w:val="3"/>
            <w:tcBorders>
              <w:right w:val="single" w:color="000000" w:sz="4" w:space="0"/>
            </w:tcBorders>
            <w:vAlign w:val="center"/>
          </w:tcPr>
          <w:p>
            <w:pPr>
              <w:spacing w:line="600" w:lineRule="exact"/>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41" w:hRule="atLeast"/>
          <w:jc w:val="center"/>
        </w:trPr>
        <w:tc>
          <w:tcPr>
            <w:tcW w:w="1560" w:type="dxa"/>
            <w:tcBorders>
              <w:left w:val="single" w:color="000000" w:sz="4" w:space="0"/>
            </w:tcBorders>
            <w:vAlign w:val="center"/>
          </w:tcPr>
          <w:p>
            <w:pPr>
              <w:spacing w:line="600" w:lineRule="exact"/>
              <w:jc w:val="center"/>
              <w:rPr>
                <w:rFonts w:ascii="宋体" w:hAnsi="宋体"/>
              </w:rPr>
            </w:pPr>
            <w:r>
              <w:rPr>
                <w:rFonts w:hint="eastAsia" w:ascii="宋体" w:hAnsi="宋体"/>
              </w:rPr>
              <w:t>参与人员</w:t>
            </w:r>
          </w:p>
        </w:tc>
        <w:tc>
          <w:tcPr>
            <w:tcW w:w="6662" w:type="dxa"/>
            <w:gridSpan w:val="3"/>
            <w:tcBorders>
              <w:right w:val="single" w:color="000000" w:sz="4" w:space="0"/>
            </w:tcBorders>
            <w:vAlign w:val="center"/>
          </w:tcPr>
          <w:p>
            <w:pPr>
              <w:spacing w:line="600" w:lineRule="exact"/>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8" w:hRule="atLeast"/>
          <w:jc w:val="center"/>
        </w:trPr>
        <w:tc>
          <w:tcPr>
            <w:tcW w:w="1560" w:type="dxa"/>
            <w:tcBorders>
              <w:left w:val="single" w:color="000000" w:sz="4" w:space="0"/>
              <w:bottom w:val="single" w:color="auto" w:sz="4" w:space="0"/>
            </w:tcBorders>
            <w:vAlign w:val="center"/>
          </w:tcPr>
          <w:p>
            <w:pPr>
              <w:spacing w:line="600" w:lineRule="exact"/>
              <w:jc w:val="center"/>
              <w:rPr>
                <w:rFonts w:ascii="宋体" w:hAnsi="宋体"/>
              </w:rPr>
            </w:pPr>
            <w:r>
              <w:rPr>
                <w:rFonts w:hint="eastAsia" w:ascii="宋体" w:hAnsi="宋体"/>
              </w:rPr>
              <w:t>所需物品</w:t>
            </w:r>
          </w:p>
        </w:tc>
        <w:tc>
          <w:tcPr>
            <w:tcW w:w="6662" w:type="dxa"/>
            <w:gridSpan w:val="3"/>
            <w:tcBorders>
              <w:bottom w:val="single" w:color="auto" w:sz="4" w:space="0"/>
              <w:right w:val="single" w:color="000000" w:sz="4" w:space="0"/>
            </w:tcBorders>
            <w:vAlign w:val="center"/>
          </w:tcPr>
          <w:p>
            <w:pPr>
              <w:spacing w:line="600" w:lineRule="exact"/>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27" w:hRule="atLeast"/>
          <w:jc w:val="center"/>
        </w:trPr>
        <w:tc>
          <w:tcPr>
            <w:tcW w:w="1560" w:type="dxa"/>
            <w:tcBorders>
              <w:top w:val="single" w:color="auto" w:sz="4" w:space="0"/>
              <w:left w:val="single" w:color="000000" w:sz="4" w:space="0"/>
            </w:tcBorders>
            <w:vAlign w:val="center"/>
          </w:tcPr>
          <w:p>
            <w:pPr>
              <w:spacing w:line="600" w:lineRule="exact"/>
              <w:jc w:val="center"/>
              <w:rPr>
                <w:rFonts w:ascii="宋体" w:hAnsi="宋体"/>
              </w:rPr>
            </w:pPr>
            <w:r>
              <w:rPr>
                <w:rFonts w:hint="eastAsia" w:ascii="宋体" w:hAnsi="宋体"/>
              </w:rPr>
              <w:t>演练内容</w:t>
            </w:r>
          </w:p>
        </w:tc>
        <w:tc>
          <w:tcPr>
            <w:tcW w:w="6662" w:type="dxa"/>
            <w:gridSpan w:val="3"/>
            <w:tcBorders>
              <w:top w:val="single" w:color="auto" w:sz="4" w:space="0"/>
              <w:right w:val="single" w:color="000000" w:sz="4" w:space="0"/>
            </w:tcBorders>
            <w:vAlign w:val="center"/>
          </w:tcPr>
          <w:p>
            <w:pPr>
              <w:spacing w:line="600"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81" w:hRule="atLeast"/>
          <w:jc w:val="center"/>
        </w:trPr>
        <w:tc>
          <w:tcPr>
            <w:tcW w:w="1560" w:type="dxa"/>
            <w:tcBorders>
              <w:left w:val="single" w:color="000000" w:sz="4" w:space="0"/>
              <w:bottom w:val="single" w:color="000000" w:sz="4" w:space="0"/>
            </w:tcBorders>
            <w:vAlign w:val="center"/>
          </w:tcPr>
          <w:p>
            <w:pPr>
              <w:spacing w:line="600" w:lineRule="exact"/>
              <w:jc w:val="center"/>
              <w:rPr>
                <w:rFonts w:ascii="宋体" w:hAnsi="宋体"/>
              </w:rPr>
            </w:pPr>
            <w:r>
              <w:rPr>
                <w:rFonts w:hint="eastAsia" w:ascii="宋体" w:hAnsi="宋体"/>
              </w:rPr>
              <w:t>演练目的</w:t>
            </w:r>
          </w:p>
        </w:tc>
        <w:tc>
          <w:tcPr>
            <w:tcW w:w="6662" w:type="dxa"/>
            <w:gridSpan w:val="3"/>
            <w:tcBorders>
              <w:bottom w:val="single" w:color="000000" w:sz="4" w:space="0"/>
              <w:right w:val="single" w:color="000000" w:sz="4" w:space="0"/>
            </w:tcBorders>
            <w:vAlign w:val="center"/>
          </w:tcPr>
          <w:p>
            <w:pPr>
              <w:spacing w:line="600" w:lineRule="exact"/>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89" w:hRule="atLeast"/>
          <w:jc w:val="center"/>
        </w:trPr>
        <w:tc>
          <w:tcPr>
            <w:tcW w:w="1560" w:type="dxa"/>
            <w:tcBorders>
              <w:left w:val="single" w:color="000000" w:sz="4" w:space="0"/>
              <w:bottom w:val="single" w:color="000000" w:sz="4" w:space="0"/>
              <w:right w:val="single" w:color="000000" w:sz="4" w:space="0"/>
            </w:tcBorders>
            <w:vAlign w:val="center"/>
          </w:tcPr>
          <w:p>
            <w:pPr>
              <w:spacing w:line="600" w:lineRule="exact"/>
              <w:jc w:val="center"/>
              <w:rPr>
                <w:rFonts w:ascii="宋体" w:hAnsi="宋体"/>
              </w:rPr>
            </w:pPr>
            <w:r>
              <w:rPr>
                <w:rFonts w:hint="eastAsia" w:ascii="宋体" w:hAnsi="宋体"/>
              </w:rPr>
              <w:t>演练结果总结</w:t>
            </w:r>
          </w:p>
        </w:tc>
        <w:tc>
          <w:tcPr>
            <w:tcW w:w="6662" w:type="dxa"/>
            <w:gridSpan w:val="3"/>
            <w:tcBorders>
              <w:left w:val="single" w:color="000000" w:sz="4" w:space="0"/>
              <w:bottom w:val="single" w:color="000000" w:sz="4" w:space="0"/>
              <w:right w:val="single" w:color="000000" w:sz="4" w:space="0"/>
            </w:tcBorders>
            <w:vAlign w:val="center"/>
          </w:tcPr>
          <w:p>
            <w:pPr>
              <w:spacing w:line="600" w:lineRule="exact"/>
              <w:jc w:val="center"/>
              <w:rPr>
                <w:rFonts w:ascii="宋体" w:hAnsi="宋体"/>
              </w:rPr>
            </w:pPr>
          </w:p>
        </w:tc>
      </w:tr>
    </w:tbl>
    <w:p>
      <w:pPr>
        <w:pStyle w:val="2"/>
        <w:keepNext/>
        <w:keepLines/>
        <w:numPr>
          <w:ilvl w:val="2"/>
          <w:numId w:val="0"/>
        </w:numPr>
        <w:spacing w:beforeLines="50" w:afterLines="50" w:line="600" w:lineRule="exact"/>
        <w:ind w:leftChars="0"/>
        <w:jc w:val="both"/>
        <w:rPr>
          <w:rFonts w:ascii="宋体" w:hAnsi="宋体"/>
          <w:i w:val="0"/>
          <w:sz w:val="28"/>
          <w:szCs w:val="28"/>
        </w:rPr>
      </w:pPr>
      <w:r>
        <w:rPr>
          <w:rFonts w:ascii="宋体" w:hAnsi="宋体"/>
          <w:i w:val="0"/>
          <w:sz w:val="28"/>
          <w:szCs w:val="28"/>
        </w:rPr>
        <w:br w:type="page"/>
      </w:r>
      <w:r>
        <w:rPr>
          <w:rFonts w:hint="eastAsia" w:ascii="宋体" w:hAnsi="宋体"/>
          <w:i w:val="0"/>
          <w:sz w:val="28"/>
          <w:szCs w:val="28"/>
          <w:lang w:val="en-US" w:eastAsia="zh-CN"/>
        </w:rPr>
        <w:t xml:space="preserve">              </w:t>
      </w:r>
      <w:r>
        <w:rPr>
          <w:rFonts w:hint="eastAsia" w:ascii="黑体" w:hAnsi="黑体" w:eastAsia="黑体" w:cs="黑体"/>
          <w:i w:val="0"/>
          <w:sz w:val="32"/>
          <w:szCs w:val="32"/>
          <w:lang w:val="en-US" w:eastAsia="zh-CN"/>
        </w:rPr>
        <w:t xml:space="preserve">     </w:t>
      </w:r>
      <w:r>
        <w:rPr>
          <w:rFonts w:hint="eastAsia" w:ascii="黑体" w:hAnsi="黑体" w:eastAsia="黑体" w:cs="黑体"/>
          <w:i w:val="0"/>
          <w:sz w:val="32"/>
          <w:szCs w:val="32"/>
        </w:rPr>
        <w:t xml:space="preserve"> </w:t>
      </w:r>
      <w:bookmarkStart w:id="6" w:name="_Toc531275738"/>
      <w:bookmarkStart w:id="7" w:name="_Toc2694158"/>
      <w:r>
        <w:rPr>
          <w:rFonts w:hint="eastAsia" w:ascii="黑体" w:hAnsi="黑体" w:eastAsia="黑体" w:cs="黑体"/>
          <w:i w:val="0"/>
          <w:sz w:val="32"/>
          <w:szCs w:val="32"/>
        </w:rPr>
        <w:t>安全事件处理过程记录表</w:t>
      </w:r>
      <w:bookmarkEnd w:id="6"/>
      <w:bookmarkEnd w:id="7"/>
    </w:p>
    <w:tbl>
      <w:tblPr>
        <w:tblStyle w:val="6"/>
        <w:tblW w:w="85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68"/>
        <w:gridCol w:w="1568"/>
        <w:gridCol w:w="1492"/>
        <w:gridCol w:w="179"/>
        <w:gridCol w:w="1589"/>
        <w:gridCol w:w="283"/>
        <w:gridCol w:w="2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2836" w:type="dxa"/>
            <w:gridSpan w:val="2"/>
            <w:vAlign w:val="center"/>
          </w:tcPr>
          <w:p>
            <w:pPr>
              <w:spacing w:line="600" w:lineRule="exact"/>
              <w:jc w:val="center"/>
              <w:rPr>
                <w:rFonts w:ascii="宋体" w:hAnsi="宋体"/>
              </w:rPr>
            </w:pPr>
            <w:r>
              <w:rPr>
                <w:rFonts w:hint="eastAsia" w:ascii="宋体" w:hAnsi="宋体"/>
              </w:rPr>
              <w:t>记录人</w:t>
            </w:r>
          </w:p>
        </w:tc>
        <w:tc>
          <w:tcPr>
            <w:tcW w:w="1671" w:type="dxa"/>
            <w:gridSpan w:val="2"/>
            <w:vAlign w:val="center"/>
          </w:tcPr>
          <w:p>
            <w:pPr>
              <w:spacing w:line="600" w:lineRule="exact"/>
              <w:jc w:val="center"/>
              <w:rPr>
                <w:rFonts w:ascii="宋体" w:hAnsi="宋体"/>
              </w:rPr>
            </w:pPr>
          </w:p>
        </w:tc>
        <w:tc>
          <w:tcPr>
            <w:tcW w:w="1589" w:type="dxa"/>
            <w:vAlign w:val="center"/>
          </w:tcPr>
          <w:p>
            <w:pPr>
              <w:spacing w:line="600" w:lineRule="exact"/>
              <w:jc w:val="center"/>
              <w:rPr>
                <w:rFonts w:ascii="宋体" w:hAnsi="宋体"/>
              </w:rPr>
            </w:pPr>
            <w:r>
              <w:rPr>
                <w:rFonts w:hint="eastAsia" w:ascii="宋体" w:hAnsi="宋体"/>
              </w:rPr>
              <w:t>记录时间</w:t>
            </w:r>
          </w:p>
        </w:tc>
        <w:tc>
          <w:tcPr>
            <w:tcW w:w="2460" w:type="dxa"/>
            <w:gridSpan w:val="2"/>
            <w:vAlign w:val="center"/>
          </w:tcPr>
          <w:p>
            <w:pPr>
              <w:spacing w:line="600" w:lineRule="exact"/>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2836" w:type="dxa"/>
            <w:gridSpan w:val="2"/>
            <w:vAlign w:val="center"/>
          </w:tcPr>
          <w:p>
            <w:pPr>
              <w:spacing w:line="600" w:lineRule="exact"/>
              <w:jc w:val="center"/>
              <w:rPr>
                <w:rFonts w:ascii="宋体" w:hAnsi="宋体"/>
              </w:rPr>
            </w:pPr>
            <w:r>
              <w:rPr>
                <w:rFonts w:hint="eastAsia" w:ascii="宋体" w:hAnsi="宋体"/>
              </w:rPr>
              <w:t>事件、事故名称</w:t>
            </w:r>
          </w:p>
        </w:tc>
        <w:tc>
          <w:tcPr>
            <w:tcW w:w="5720" w:type="dxa"/>
            <w:gridSpan w:val="5"/>
            <w:vAlign w:val="center"/>
          </w:tcPr>
          <w:p>
            <w:pPr>
              <w:spacing w:line="600" w:lineRule="exact"/>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2836" w:type="dxa"/>
            <w:gridSpan w:val="2"/>
            <w:vAlign w:val="center"/>
          </w:tcPr>
          <w:p>
            <w:pPr>
              <w:spacing w:line="600" w:lineRule="exact"/>
              <w:jc w:val="center"/>
              <w:rPr>
                <w:rFonts w:ascii="宋体" w:hAnsi="宋体"/>
              </w:rPr>
            </w:pPr>
            <w:r>
              <w:rPr>
                <w:rFonts w:hint="eastAsia" w:ascii="宋体" w:hAnsi="宋体"/>
              </w:rPr>
              <w:t>事件、事故等级</w:t>
            </w:r>
          </w:p>
        </w:tc>
        <w:tc>
          <w:tcPr>
            <w:tcW w:w="1671" w:type="dxa"/>
            <w:gridSpan w:val="2"/>
            <w:vAlign w:val="center"/>
          </w:tcPr>
          <w:p>
            <w:pPr>
              <w:spacing w:line="600" w:lineRule="exact"/>
              <w:jc w:val="center"/>
              <w:rPr>
                <w:rFonts w:ascii="宋体" w:hAnsi="宋体"/>
              </w:rPr>
            </w:pPr>
          </w:p>
        </w:tc>
        <w:tc>
          <w:tcPr>
            <w:tcW w:w="1589" w:type="dxa"/>
            <w:vAlign w:val="center"/>
          </w:tcPr>
          <w:p>
            <w:pPr>
              <w:spacing w:line="600" w:lineRule="exact"/>
              <w:jc w:val="center"/>
              <w:rPr>
                <w:rFonts w:ascii="宋体" w:hAnsi="宋体"/>
              </w:rPr>
            </w:pPr>
            <w:r>
              <w:rPr>
                <w:rFonts w:hint="eastAsia" w:ascii="宋体" w:hAnsi="宋体"/>
              </w:rPr>
              <w:t>发生时间</w:t>
            </w:r>
          </w:p>
        </w:tc>
        <w:tc>
          <w:tcPr>
            <w:tcW w:w="2460" w:type="dxa"/>
            <w:gridSpan w:val="2"/>
            <w:vAlign w:val="center"/>
          </w:tcPr>
          <w:p>
            <w:pPr>
              <w:spacing w:line="600" w:lineRule="exact"/>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8" w:hRule="atLeast"/>
        </w:trPr>
        <w:tc>
          <w:tcPr>
            <w:tcW w:w="2836" w:type="dxa"/>
            <w:gridSpan w:val="2"/>
            <w:vAlign w:val="center"/>
          </w:tcPr>
          <w:p>
            <w:pPr>
              <w:spacing w:line="600" w:lineRule="exact"/>
              <w:jc w:val="center"/>
              <w:rPr>
                <w:rFonts w:ascii="宋体" w:hAnsi="宋体"/>
              </w:rPr>
            </w:pPr>
            <w:r>
              <w:rPr>
                <w:rFonts w:hint="eastAsia" w:ascii="宋体" w:hAnsi="宋体"/>
              </w:rPr>
              <w:t>参与人员</w:t>
            </w:r>
          </w:p>
        </w:tc>
        <w:tc>
          <w:tcPr>
            <w:tcW w:w="5720" w:type="dxa"/>
            <w:gridSpan w:val="5"/>
            <w:vAlign w:val="center"/>
          </w:tcPr>
          <w:p>
            <w:pPr>
              <w:spacing w:line="600" w:lineRule="exact"/>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2836" w:type="dxa"/>
            <w:gridSpan w:val="2"/>
            <w:vAlign w:val="center"/>
          </w:tcPr>
          <w:p>
            <w:pPr>
              <w:spacing w:line="600" w:lineRule="exact"/>
              <w:jc w:val="center"/>
              <w:rPr>
                <w:rFonts w:ascii="宋体" w:hAnsi="宋体"/>
              </w:rPr>
            </w:pPr>
            <w:r>
              <w:rPr>
                <w:rFonts w:hint="eastAsia" w:ascii="宋体" w:hAnsi="宋体"/>
              </w:rPr>
              <w:t>事件、事故严重程度</w:t>
            </w:r>
          </w:p>
        </w:tc>
        <w:tc>
          <w:tcPr>
            <w:tcW w:w="5720" w:type="dxa"/>
            <w:gridSpan w:val="5"/>
            <w:vAlign w:val="center"/>
          </w:tcPr>
          <w:p>
            <w:pPr>
              <w:spacing w:line="600" w:lineRule="exact"/>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2836" w:type="dxa"/>
            <w:gridSpan w:val="2"/>
            <w:vAlign w:val="center"/>
          </w:tcPr>
          <w:p>
            <w:pPr>
              <w:spacing w:line="600" w:lineRule="exact"/>
              <w:jc w:val="center"/>
              <w:rPr>
                <w:rFonts w:ascii="宋体" w:hAnsi="宋体"/>
              </w:rPr>
            </w:pPr>
            <w:r>
              <w:rPr>
                <w:rFonts w:hint="eastAsia" w:ascii="宋体" w:hAnsi="宋体"/>
              </w:rPr>
              <w:t>解决事件/事故所用时间</w:t>
            </w:r>
          </w:p>
        </w:tc>
        <w:tc>
          <w:tcPr>
            <w:tcW w:w="5720" w:type="dxa"/>
            <w:gridSpan w:val="5"/>
            <w:vAlign w:val="center"/>
          </w:tcPr>
          <w:p>
            <w:pPr>
              <w:spacing w:line="600" w:lineRule="exact"/>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0" w:hRule="atLeast"/>
        </w:trPr>
        <w:tc>
          <w:tcPr>
            <w:tcW w:w="2836" w:type="dxa"/>
            <w:gridSpan w:val="2"/>
            <w:vAlign w:val="center"/>
          </w:tcPr>
          <w:p>
            <w:pPr>
              <w:spacing w:line="600" w:lineRule="exact"/>
              <w:jc w:val="center"/>
              <w:rPr>
                <w:rFonts w:ascii="宋体" w:hAnsi="宋体"/>
              </w:rPr>
            </w:pPr>
            <w:r>
              <w:rPr>
                <w:rFonts w:hint="eastAsia" w:ascii="宋体" w:hAnsi="宋体"/>
              </w:rPr>
              <w:t>处理依据</w:t>
            </w:r>
          </w:p>
        </w:tc>
        <w:tc>
          <w:tcPr>
            <w:tcW w:w="5720" w:type="dxa"/>
            <w:gridSpan w:val="5"/>
            <w:vAlign w:val="center"/>
          </w:tcPr>
          <w:p>
            <w:pPr>
              <w:spacing w:line="600" w:lineRule="exact"/>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70" w:hRule="atLeast"/>
        </w:trPr>
        <w:tc>
          <w:tcPr>
            <w:tcW w:w="2836" w:type="dxa"/>
            <w:gridSpan w:val="2"/>
            <w:vAlign w:val="center"/>
          </w:tcPr>
          <w:p>
            <w:pPr>
              <w:spacing w:line="600" w:lineRule="exact"/>
              <w:jc w:val="center"/>
              <w:rPr>
                <w:rFonts w:ascii="宋体" w:hAnsi="宋体"/>
              </w:rPr>
            </w:pPr>
            <w:r>
              <w:rPr>
                <w:rFonts w:hint="eastAsia" w:ascii="宋体" w:hAnsi="宋体"/>
              </w:rPr>
              <w:t>处理过程</w:t>
            </w:r>
          </w:p>
        </w:tc>
        <w:tc>
          <w:tcPr>
            <w:tcW w:w="5720" w:type="dxa"/>
            <w:gridSpan w:val="5"/>
            <w:vAlign w:val="center"/>
          </w:tcPr>
          <w:p>
            <w:pPr>
              <w:spacing w:line="600" w:lineRule="exact"/>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51" w:hRule="atLeast"/>
        </w:trPr>
        <w:tc>
          <w:tcPr>
            <w:tcW w:w="2836" w:type="dxa"/>
            <w:gridSpan w:val="2"/>
            <w:vAlign w:val="center"/>
          </w:tcPr>
          <w:p>
            <w:pPr>
              <w:spacing w:line="600" w:lineRule="exact"/>
              <w:jc w:val="center"/>
              <w:rPr>
                <w:rFonts w:ascii="宋体" w:hAnsi="宋体"/>
              </w:rPr>
            </w:pPr>
            <w:r>
              <w:rPr>
                <w:rFonts w:hint="eastAsia" w:ascii="宋体" w:hAnsi="宋体"/>
              </w:rPr>
              <w:t>处理结果</w:t>
            </w:r>
          </w:p>
        </w:tc>
        <w:tc>
          <w:tcPr>
            <w:tcW w:w="5720" w:type="dxa"/>
            <w:gridSpan w:val="5"/>
            <w:vAlign w:val="center"/>
          </w:tcPr>
          <w:p>
            <w:pPr>
              <w:spacing w:line="600" w:lineRule="exact"/>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01" w:hRule="atLeast"/>
        </w:trPr>
        <w:tc>
          <w:tcPr>
            <w:tcW w:w="2836" w:type="dxa"/>
            <w:gridSpan w:val="2"/>
            <w:vAlign w:val="center"/>
          </w:tcPr>
          <w:p>
            <w:pPr>
              <w:spacing w:line="600" w:lineRule="exact"/>
              <w:jc w:val="center"/>
              <w:rPr>
                <w:rFonts w:ascii="宋体" w:hAnsi="宋体"/>
              </w:rPr>
            </w:pPr>
            <w:r>
              <w:rPr>
                <w:rFonts w:hint="eastAsia" w:ascii="宋体" w:hAnsi="宋体"/>
              </w:rPr>
              <w:t>发生原因：</w:t>
            </w:r>
          </w:p>
        </w:tc>
        <w:tc>
          <w:tcPr>
            <w:tcW w:w="5720" w:type="dxa"/>
            <w:gridSpan w:val="5"/>
            <w:vAlign w:val="center"/>
          </w:tcPr>
          <w:p>
            <w:pPr>
              <w:spacing w:line="600" w:lineRule="exact"/>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31" w:hRule="atLeast"/>
        </w:trPr>
        <w:tc>
          <w:tcPr>
            <w:tcW w:w="2836" w:type="dxa"/>
            <w:gridSpan w:val="2"/>
            <w:vAlign w:val="center"/>
          </w:tcPr>
          <w:p>
            <w:pPr>
              <w:spacing w:line="600" w:lineRule="exact"/>
              <w:jc w:val="center"/>
              <w:rPr>
                <w:rFonts w:ascii="宋体" w:hAnsi="宋体"/>
              </w:rPr>
            </w:pPr>
            <w:r>
              <w:rPr>
                <w:rFonts w:hint="eastAsia" w:ascii="宋体" w:hAnsi="宋体"/>
              </w:rPr>
              <w:t>造成的影响：</w:t>
            </w:r>
          </w:p>
        </w:tc>
        <w:tc>
          <w:tcPr>
            <w:tcW w:w="5720" w:type="dxa"/>
            <w:gridSpan w:val="5"/>
            <w:vAlign w:val="center"/>
          </w:tcPr>
          <w:p>
            <w:pPr>
              <w:spacing w:line="600" w:lineRule="exact"/>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9" w:hRule="atLeast"/>
        </w:trPr>
        <w:tc>
          <w:tcPr>
            <w:tcW w:w="1268" w:type="dxa"/>
            <w:vAlign w:val="center"/>
          </w:tcPr>
          <w:p>
            <w:pPr>
              <w:spacing w:line="600" w:lineRule="exact"/>
              <w:jc w:val="center"/>
              <w:rPr>
                <w:rFonts w:ascii="宋体" w:hAnsi="宋体"/>
              </w:rPr>
            </w:pPr>
            <w:r>
              <w:rPr>
                <w:rFonts w:hint="eastAsia" w:ascii="宋体" w:hAnsi="宋体"/>
              </w:rPr>
              <w:t>审核人</w:t>
            </w:r>
          </w:p>
        </w:tc>
        <w:tc>
          <w:tcPr>
            <w:tcW w:w="3060" w:type="dxa"/>
            <w:gridSpan w:val="2"/>
            <w:vAlign w:val="center"/>
          </w:tcPr>
          <w:p>
            <w:pPr>
              <w:spacing w:line="600" w:lineRule="exact"/>
              <w:jc w:val="center"/>
              <w:rPr>
                <w:rFonts w:ascii="宋体" w:hAnsi="宋体"/>
              </w:rPr>
            </w:pPr>
          </w:p>
        </w:tc>
        <w:tc>
          <w:tcPr>
            <w:tcW w:w="2051" w:type="dxa"/>
            <w:gridSpan w:val="3"/>
            <w:vAlign w:val="center"/>
          </w:tcPr>
          <w:p>
            <w:pPr>
              <w:spacing w:line="600" w:lineRule="exact"/>
              <w:jc w:val="center"/>
              <w:rPr>
                <w:rFonts w:ascii="宋体" w:hAnsi="宋体"/>
              </w:rPr>
            </w:pPr>
            <w:r>
              <w:rPr>
                <w:rFonts w:hint="eastAsia" w:ascii="宋体" w:hAnsi="宋体"/>
              </w:rPr>
              <w:t>审核时间</w:t>
            </w:r>
          </w:p>
        </w:tc>
        <w:tc>
          <w:tcPr>
            <w:tcW w:w="2177" w:type="dxa"/>
            <w:vAlign w:val="center"/>
          </w:tcPr>
          <w:p>
            <w:pPr>
              <w:spacing w:line="600" w:lineRule="exact"/>
              <w:jc w:val="center"/>
              <w:rPr>
                <w:rFonts w:ascii="宋体" w:hAnsi="宋体"/>
              </w:rPr>
            </w:pPr>
          </w:p>
        </w:tc>
      </w:tr>
    </w:tbl>
    <w:p/>
    <w:p/>
    <w:p/>
    <w:p/>
    <w:p/>
    <w:p/>
    <w:p>
      <w:pPr>
        <w:sectPr>
          <w:footerReference r:id="rId3" w:type="default"/>
          <w:pgSz w:w="11906" w:h="16838"/>
          <w:pgMar w:top="1440" w:right="1800" w:bottom="1440" w:left="1800" w:header="851" w:footer="992" w:gutter="0"/>
          <w:cols w:space="425" w:num="1"/>
          <w:docGrid w:type="lines" w:linePitch="312" w:charSpace="0"/>
        </w:sectPr>
      </w:pPr>
    </w:p>
    <w:tbl>
      <w:tblPr>
        <w:tblStyle w:val="7"/>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2476"/>
        <w:gridCol w:w="794"/>
        <w:gridCol w:w="5235"/>
        <w:gridCol w:w="1620"/>
        <w:gridCol w:w="1515"/>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gridSpan w:val="7"/>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p>
            <w:pPr>
              <w:keepNext w:val="0"/>
              <w:keepLines w:val="0"/>
              <w:pageBreakBefore w:val="0"/>
              <w:widowControl/>
              <w:kinsoku/>
              <w:wordWrap/>
              <w:overflowPunct/>
              <w:topLinePunct w:val="0"/>
              <w:autoSpaceDE/>
              <w:autoSpaceDN/>
              <w:bidi w:val="0"/>
              <w:adjustRightInd/>
              <w:snapToGrid/>
              <w:spacing w:after="200" w:line="660" w:lineRule="exact"/>
              <w:jc w:val="center"/>
              <w:textAlignment w:val="auto"/>
              <w:rPr>
                <w:rFonts w:hint="eastAsia" w:ascii="仿宋_GB2312" w:hAnsi="仿宋_GB2312" w:eastAsia="方正大标宋简体" w:cs="仿宋_GB2312"/>
                <w:i w:val="0"/>
                <w:iCs w:val="0"/>
                <w:color w:val="000000"/>
                <w:kern w:val="0"/>
                <w:sz w:val="21"/>
                <w:szCs w:val="21"/>
                <w:u w:val="none"/>
                <w:lang w:val="en-US" w:eastAsia="zh-CN" w:bidi="ar"/>
              </w:rPr>
            </w:pPr>
            <w:r>
              <w:rPr>
                <w:rFonts w:hint="eastAsia" w:ascii="方正大标宋简体" w:hAnsi="方正大标宋简体" w:eastAsia="方正大标宋简体" w:cs="方正大标宋简体"/>
                <w:kern w:val="0"/>
                <w:sz w:val="32"/>
                <w:szCs w:val="32"/>
                <w:lang w:bidi="en-US"/>
              </w:rPr>
              <w:t>三门峡市财政信息</w:t>
            </w:r>
            <w:r>
              <w:rPr>
                <w:rFonts w:hint="eastAsia" w:ascii="方正大标宋简体" w:hAnsi="方正大标宋简体" w:eastAsia="方正大标宋简体" w:cs="方正大标宋简体"/>
                <w:kern w:val="0"/>
                <w:sz w:val="32"/>
                <w:szCs w:val="32"/>
                <w:lang w:val="en-US" w:eastAsia="zh-CN" w:bidi="en-US"/>
              </w:rPr>
              <w:t>工作暨网络安全</w:t>
            </w:r>
            <w:r>
              <w:rPr>
                <w:rFonts w:hint="eastAsia" w:ascii="方正大标宋简体" w:hAnsi="方正大标宋简体" w:eastAsia="方正大标宋简体" w:cs="方正大标宋简体"/>
                <w:kern w:val="0"/>
                <w:sz w:val="32"/>
                <w:szCs w:val="32"/>
                <w:lang w:bidi="en-US"/>
              </w:rPr>
              <w:t>通报</w:t>
            </w:r>
            <w:r>
              <w:rPr>
                <w:rFonts w:hint="eastAsia" w:ascii="方正大标宋简体" w:hAnsi="方正大标宋简体" w:eastAsia="方正大标宋简体" w:cs="方正大标宋简体"/>
                <w:kern w:val="0"/>
                <w:sz w:val="32"/>
                <w:szCs w:val="32"/>
                <w:lang w:val="en-US" w:eastAsia="zh-CN" w:bidi="en-US"/>
              </w:rPr>
              <w:t>测评表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tcBorders>
              <w:top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项目</w:t>
            </w:r>
          </w:p>
        </w:tc>
        <w:tc>
          <w:tcPr>
            <w:tcW w:w="2476" w:type="dxa"/>
            <w:tcBorders>
              <w:top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考核标准</w:t>
            </w:r>
          </w:p>
        </w:tc>
        <w:tc>
          <w:tcPr>
            <w:tcW w:w="794" w:type="dxa"/>
            <w:tcBorders>
              <w:top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分值</w:t>
            </w:r>
          </w:p>
        </w:tc>
        <w:tc>
          <w:tcPr>
            <w:tcW w:w="5235" w:type="dxa"/>
            <w:tcBorders>
              <w:top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分值内容</w:t>
            </w:r>
          </w:p>
        </w:tc>
        <w:tc>
          <w:tcPr>
            <w:tcW w:w="1620" w:type="dxa"/>
            <w:tcBorders>
              <w:top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评分标准</w:t>
            </w:r>
          </w:p>
        </w:tc>
        <w:tc>
          <w:tcPr>
            <w:tcW w:w="1515" w:type="dxa"/>
            <w:tcBorders>
              <w:top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评定方法</w:t>
            </w:r>
          </w:p>
        </w:tc>
        <w:tc>
          <w:tcPr>
            <w:tcW w:w="1080" w:type="dxa"/>
            <w:tcBorders>
              <w:top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5" w:hRule="atLeast"/>
        </w:trPr>
        <w:tc>
          <w:tcPr>
            <w:tcW w:w="1455" w:type="dxa"/>
            <w:vAlign w:val="center"/>
          </w:tcPr>
          <w:p>
            <w:pPr>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网络安全体系建设</w:t>
            </w:r>
          </w:p>
        </w:tc>
        <w:tc>
          <w:tcPr>
            <w:tcW w:w="2476" w:type="dxa"/>
            <w:vAlign w:val="center"/>
          </w:tcPr>
          <w:p>
            <w:pPr>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rPr>
              <w:t>明确兼职网络信息安全员，安全员定期参加网络安全培训，及时传达</w:t>
            </w:r>
            <w:r>
              <w:rPr>
                <w:rFonts w:hint="eastAsia" w:ascii="仿宋_GB2312" w:hAnsi="仿宋_GB2312" w:eastAsia="仿宋_GB2312" w:cs="仿宋_GB2312"/>
                <w:sz w:val="21"/>
                <w:szCs w:val="21"/>
                <w:vertAlign w:val="baseline"/>
                <w:lang w:val="en-US" w:eastAsia="zh-CN"/>
              </w:rPr>
              <w:t>上级主管部门</w:t>
            </w:r>
            <w:r>
              <w:rPr>
                <w:rFonts w:hint="eastAsia" w:ascii="仿宋_GB2312" w:hAnsi="仿宋_GB2312" w:eastAsia="仿宋_GB2312" w:cs="仿宋_GB2312"/>
                <w:sz w:val="21"/>
                <w:szCs w:val="21"/>
                <w:vertAlign w:val="baseline"/>
              </w:rPr>
              <w:t>网络安全工作精神，并贯彻执</w:t>
            </w:r>
            <w:r>
              <w:rPr>
                <w:rFonts w:hint="eastAsia" w:ascii="仿宋_GB2312" w:hAnsi="仿宋_GB2312" w:eastAsia="仿宋_GB2312" w:cs="仿宋_GB2312"/>
                <w:sz w:val="21"/>
                <w:szCs w:val="21"/>
                <w:vertAlign w:val="baseline"/>
                <w:lang w:val="en-US" w:eastAsia="zh-CN"/>
              </w:rPr>
              <w:t>行。</w:t>
            </w:r>
          </w:p>
        </w:tc>
        <w:tc>
          <w:tcPr>
            <w:tcW w:w="794" w:type="dxa"/>
            <w:vAlign w:val="center"/>
          </w:tcPr>
          <w:p>
            <w:p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30</w:t>
            </w:r>
          </w:p>
        </w:tc>
        <w:tc>
          <w:tcPr>
            <w:tcW w:w="5235" w:type="dxa"/>
            <w:vAlign w:val="center"/>
          </w:tcPr>
          <w:p>
            <w:pPr>
              <w:numPr>
                <w:ilvl w:val="0"/>
                <w:numId w:val="0"/>
              </w:numPr>
              <w:jc w:val="left"/>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sz w:val="21"/>
                <w:szCs w:val="21"/>
                <w:vertAlign w:val="baseline"/>
              </w:rPr>
              <w:t>建立了本地、本单位内部信息安全通报机制,积极开展信息通报工作</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10分</w:t>
            </w:r>
            <w:r>
              <w:rPr>
                <w:rFonts w:hint="eastAsia" w:ascii="仿宋_GB2312" w:hAnsi="仿宋_GB2312" w:eastAsia="仿宋_GB2312" w:cs="仿宋_GB2312"/>
                <w:sz w:val="21"/>
                <w:szCs w:val="21"/>
                <w:vertAlign w:val="baseline"/>
                <w:lang w:eastAsia="zh-CN"/>
              </w:rPr>
              <w:t>）</w:t>
            </w:r>
          </w:p>
          <w:p>
            <w:pPr>
              <w:numPr>
                <w:ilvl w:val="0"/>
                <w:numId w:val="0"/>
              </w:numPr>
              <w:jc w:val="left"/>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val="en-US" w:eastAsia="zh-CN"/>
              </w:rPr>
              <w:t>2、</w:t>
            </w:r>
            <w:r>
              <w:rPr>
                <w:rFonts w:hint="eastAsia" w:ascii="仿宋_GB2312" w:hAnsi="仿宋_GB2312" w:eastAsia="仿宋_GB2312" w:cs="仿宋_GB2312"/>
                <w:sz w:val="21"/>
                <w:szCs w:val="21"/>
                <w:vertAlign w:val="baseline"/>
              </w:rPr>
              <w:t>健全完善信息安全通报机制并取得明显成效</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5分</w:t>
            </w:r>
            <w:r>
              <w:rPr>
                <w:rFonts w:hint="eastAsia" w:ascii="仿宋_GB2312" w:hAnsi="仿宋_GB2312" w:eastAsia="仿宋_GB2312" w:cs="仿宋_GB2312"/>
                <w:sz w:val="21"/>
                <w:szCs w:val="21"/>
                <w:vertAlign w:val="baseline"/>
                <w:lang w:eastAsia="zh-CN"/>
              </w:rPr>
              <w:t>）</w:t>
            </w:r>
          </w:p>
          <w:p>
            <w:pPr>
              <w:numPr>
                <w:ilvl w:val="0"/>
                <w:numId w:val="0"/>
              </w:numPr>
              <w:jc w:val="left"/>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val="en-US" w:eastAsia="zh-CN"/>
              </w:rPr>
              <w:t>3、</w:t>
            </w:r>
            <w:r>
              <w:rPr>
                <w:rFonts w:hint="eastAsia" w:ascii="仿宋_GB2312" w:hAnsi="仿宋_GB2312" w:eastAsia="仿宋_GB2312" w:cs="仿宋_GB2312"/>
                <w:sz w:val="21"/>
                <w:szCs w:val="21"/>
                <w:vertAlign w:val="baseline"/>
              </w:rPr>
              <w:t>通报工作被纳入本单位年度工作考评体系</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5分</w:t>
            </w:r>
            <w:r>
              <w:rPr>
                <w:rFonts w:hint="eastAsia" w:ascii="仿宋_GB2312" w:hAnsi="仿宋_GB2312" w:eastAsia="仿宋_GB2312" w:cs="仿宋_GB2312"/>
                <w:sz w:val="21"/>
                <w:szCs w:val="21"/>
                <w:vertAlign w:val="baseline"/>
                <w:lang w:eastAsia="zh-CN"/>
              </w:rPr>
              <w:t>）</w:t>
            </w:r>
          </w:p>
          <w:p>
            <w:pPr>
              <w:numPr>
                <w:ilvl w:val="0"/>
                <w:numId w:val="0"/>
              </w:numPr>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w:t>
            </w:r>
            <w:r>
              <w:rPr>
                <w:rFonts w:hint="eastAsia" w:ascii="仿宋_GB2312" w:hAnsi="仿宋_GB2312" w:eastAsia="仿宋_GB2312" w:cs="仿宋_GB2312"/>
                <w:sz w:val="21"/>
                <w:szCs w:val="21"/>
                <w:vertAlign w:val="baseline"/>
              </w:rPr>
              <w:t>网络信息安全</w:t>
            </w:r>
            <w:r>
              <w:rPr>
                <w:rFonts w:hint="eastAsia" w:ascii="仿宋_GB2312" w:hAnsi="仿宋_GB2312" w:eastAsia="仿宋_GB2312" w:cs="仿宋_GB2312"/>
                <w:sz w:val="21"/>
                <w:szCs w:val="21"/>
                <w:vertAlign w:val="baseline"/>
                <w:lang w:val="en-US" w:eastAsia="zh-CN"/>
              </w:rPr>
              <w:t>部门</w:t>
            </w:r>
            <w:r>
              <w:rPr>
                <w:rFonts w:hint="eastAsia" w:ascii="仿宋_GB2312" w:hAnsi="仿宋_GB2312" w:eastAsia="仿宋_GB2312" w:cs="仿宋_GB2312"/>
                <w:sz w:val="21"/>
                <w:szCs w:val="21"/>
                <w:vertAlign w:val="baseline"/>
              </w:rPr>
              <w:t>明确</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rPr>
              <w:t>网络信息</w:t>
            </w:r>
            <w:r>
              <w:rPr>
                <w:rFonts w:hint="eastAsia" w:ascii="仿宋_GB2312" w:hAnsi="仿宋_GB2312" w:eastAsia="仿宋_GB2312" w:cs="仿宋_GB2312"/>
                <w:sz w:val="21"/>
                <w:szCs w:val="21"/>
                <w:vertAlign w:val="baseline"/>
                <w:lang w:val="en-US" w:eastAsia="zh-CN"/>
              </w:rPr>
              <w:t>工作人员设立专岗（5分）</w:t>
            </w:r>
          </w:p>
          <w:p>
            <w:pPr>
              <w:numPr>
                <w:ilvl w:val="0"/>
                <w:numId w:val="0"/>
              </w:numPr>
              <w:jc w:val="left"/>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val="en-US" w:eastAsia="zh-CN"/>
              </w:rPr>
              <w:t>5、</w:t>
            </w:r>
            <w:r>
              <w:rPr>
                <w:rFonts w:hint="eastAsia" w:ascii="仿宋_GB2312" w:hAnsi="仿宋_GB2312" w:eastAsia="仿宋_GB2312" w:cs="仿宋_GB2312"/>
                <w:sz w:val="21"/>
                <w:szCs w:val="21"/>
                <w:vertAlign w:val="baseline"/>
              </w:rPr>
              <w:t>按时参加</w:t>
            </w:r>
            <w:r>
              <w:rPr>
                <w:rFonts w:hint="eastAsia" w:ascii="仿宋_GB2312" w:hAnsi="仿宋_GB2312" w:eastAsia="仿宋_GB2312" w:cs="仿宋_GB2312"/>
                <w:sz w:val="21"/>
                <w:szCs w:val="21"/>
                <w:vertAlign w:val="baseline"/>
                <w:lang w:val="en-US" w:eastAsia="zh-CN"/>
              </w:rPr>
              <w:t>上级部门</w:t>
            </w:r>
            <w:r>
              <w:rPr>
                <w:rFonts w:hint="eastAsia" w:ascii="仿宋_GB2312" w:hAnsi="仿宋_GB2312" w:eastAsia="仿宋_GB2312" w:cs="仿宋_GB2312"/>
                <w:sz w:val="21"/>
                <w:szCs w:val="21"/>
                <w:vertAlign w:val="baseline"/>
              </w:rPr>
              <w:t>定期网络安全培训</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5分</w:t>
            </w:r>
            <w:r>
              <w:rPr>
                <w:rFonts w:hint="eastAsia" w:ascii="仿宋_GB2312" w:hAnsi="仿宋_GB2312" w:eastAsia="仿宋_GB2312" w:cs="仿宋_GB2312"/>
                <w:sz w:val="21"/>
                <w:szCs w:val="21"/>
                <w:vertAlign w:val="baseline"/>
                <w:lang w:eastAsia="zh-CN"/>
              </w:rPr>
              <w:t>）</w:t>
            </w:r>
          </w:p>
        </w:tc>
        <w:tc>
          <w:tcPr>
            <w:tcW w:w="1620" w:type="dxa"/>
            <w:vAlign w:val="center"/>
          </w:tcPr>
          <w:p>
            <w:pPr>
              <w:jc w:val="left"/>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不达标，</w:t>
            </w:r>
            <w:r>
              <w:rPr>
                <w:rFonts w:hint="eastAsia" w:ascii="仿宋_GB2312" w:hAnsi="仿宋_GB2312" w:eastAsia="仿宋_GB2312" w:cs="仿宋_GB2312"/>
                <w:sz w:val="21"/>
                <w:szCs w:val="21"/>
                <w:vertAlign w:val="baseline"/>
                <w:lang w:val="en-US" w:eastAsia="zh-CN"/>
              </w:rPr>
              <w:t>扣除相应分数</w:t>
            </w:r>
            <w:r>
              <w:rPr>
                <w:rFonts w:hint="eastAsia" w:ascii="仿宋_GB2312" w:hAnsi="仿宋_GB2312" w:eastAsia="仿宋_GB2312" w:cs="仿宋_GB2312"/>
                <w:sz w:val="21"/>
                <w:szCs w:val="21"/>
                <w:vertAlign w:val="baseline"/>
              </w:rPr>
              <w:t>。</w:t>
            </w:r>
          </w:p>
        </w:tc>
        <w:tc>
          <w:tcPr>
            <w:tcW w:w="1515" w:type="dxa"/>
            <w:vAlign w:val="center"/>
          </w:tcPr>
          <w:p>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现场查看资料，培训签到记录</w:t>
            </w:r>
          </w:p>
        </w:tc>
        <w:tc>
          <w:tcPr>
            <w:tcW w:w="1080" w:type="dxa"/>
            <w:vAlign w:val="center"/>
          </w:tcPr>
          <w:p>
            <w:pPr>
              <w:jc w:val="center"/>
              <w:rPr>
                <w:rFonts w:hint="eastAsia" w:ascii="仿宋_GB2312" w:hAnsi="仿宋_GB2312" w:eastAsia="仿宋_GB2312" w:cs="仿宋_GB2312"/>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5" w:hRule="atLeast"/>
        </w:trPr>
        <w:tc>
          <w:tcPr>
            <w:tcW w:w="1455" w:type="dxa"/>
            <w:vAlign w:val="center"/>
          </w:tcPr>
          <w:p>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预算管理一体化</w:t>
            </w:r>
          </w:p>
        </w:tc>
        <w:tc>
          <w:tcPr>
            <w:tcW w:w="2476" w:type="dxa"/>
            <w:vAlign w:val="center"/>
          </w:tcPr>
          <w:p>
            <w:pPr>
              <w:jc w:val="both"/>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预算管理一体化工作中积极主动，在全年总评得分中表现突出</w:t>
            </w:r>
          </w:p>
        </w:tc>
        <w:tc>
          <w:tcPr>
            <w:tcW w:w="794" w:type="dxa"/>
            <w:vAlign w:val="center"/>
          </w:tcPr>
          <w:p>
            <w:p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w:t>
            </w:r>
          </w:p>
        </w:tc>
        <w:tc>
          <w:tcPr>
            <w:tcW w:w="5235" w:type="dxa"/>
            <w:vAlign w:val="center"/>
          </w:tcPr>
          <w:p>
            <w:pPr>
              <w:numPr>
                <w:ilvl w:val="0"/>
                <w:numId w:val="2"/>
              </w:numPr>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预算管理一体化在全年全市排名（10分）</w:t>
            </w:r>
          </w:p>
          <w:p>
            <w:pPr>
              <w:numPr>
                <w:ilvl w:val="0"/>
                <w:numId w:val="2"/>
              </w:numPr>
              <w:jc w:val="left"/>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一体化数据质量得分（10分）</w:t>
            </w:r>
          </w:p>
        </w:tc>
        <w:tc>
          <w:tcPr>
            <w:tcW w:w="1620" w:type="dxa"/>
            <w:vAlign w:val="center"/>
          </w:tcPr>
          <w:p>
            <w:pPr>
              <w:jc w:val="left"/>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前3名的满分，后2名扣除3分。</w:t>
            </w:r>
          </w:p>
        </w:tc>
        <w:tc>
          <w:tcPr>
            <w:tcW w:w="1515" w:type="dxa"/>
            <w:vAlign w:val="center"/>
          </w:tcPr>
          <w:p>
            <w:p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实绩考核</w:t>
            </w:r>
          </w:p>
        </w:tc>
        <w:tc>
          <w:tcPr>
            <w:tcW w:w="1080" w:type="dxa"/>
            <w:vAlign w:val="center"/>
          </w:tcPr>
          <w:p>
            <w:pPr>
              <w:jc w:val="center"/>
              <w:rPr>
                <w:rFonts w:hint="eastAsia" w:ascii="仿宋_GB2312" w:hAnsi="仿宋_GB2312" w:eastAsia="仿宋_GB2312" w:cs="仿宋_GB2312"/>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1" w:hRule="atLeast"/>
        </w:trPr>
        <w:tc>
          <w:tcPr>
            <w:tcW w:w="1455" w:type="dxa"/>
            <w:vAlign w:val="center"/>
          </w:tcPr>
          <w:p>
            <w:pPr>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个人计算机安全管理</w:t>
            </w:r>
          </w:p>
        </w:tc>
        <w:tc>
          <w:tcPr>
            <w:tcW w:w="2476" w:type="dxa"/>
            <w:vAlign w:val="center"/>
          </w:tcPr>
          <w:p>
            <w:pPr>
              <w:jc w:val="both"/>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rPr>
              <w:t>及时更新计算机的防病毒软件和补丁程序</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rPr>
              <w:t>计算机设置登录口令和屏幕保护程序</w:t>
            </w:r>
            <w:r>
              <w:rPr>
                <w:rFonts w:hint="eastAsia" w:ascii="仿宋_GB2312" w:hAnsi="仿宋_GB2312" w:eastAsia="仿宋_GB2312" w:cs="仿宋_GB2312"/>
                <w:sz w:val="21"/>
                <w:szCs w:val="21"/>
                <w:vertAlign w:val="baseline"/>
                <w:lang w:eastAsia="zh-CN"/>
              </w:rPr>
              <w:t>。</w:t>
            </w:r>
          </w:p>
        </w:tc>
        <w:tc>
          <w:tcPr>
            <w:tcW w:w="794" w:type="dxa"/>
            <w:vAlign w:val="center"/>
          </w:tcPr>
          <w:p>
            <w:p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w:t>
            </w:r>
          </w:p>
        </w:tc>
        <w:tc>
          <w:tcPr>
            <w:tcW w:w="5235" w:type="dxa"/>
            <w:vAlign w:val="center"/>
          </w:tcPr>
          <w:p>
            <w:pPr>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w:t>
            </w:r>
            <w:r>
              <w:rPr>
                <w:rFonts w:hint="eastAsia" w:ascii="仿宋_GB2312" w:hAnsi="仿宋_GB2312" w:eastAsia="仿宋_GB2312" w:cs="仿宋_GB2312"/>
                <w:sz w:val="21"/>
                <w:szCs w:val="21"/>
                <w:vertAlign w:val="baseline"/>
              </w:rPr>
              <w:t>计算机安装杀毒软件</w:t>
            </w:r>
            <w:r>
              <w:rPr>
                <w:rFonts w:hint="eastAsia" w:ascii="仿宋_GB2312" w:hAnsi="仿宋_GB2312" w:eastAsia="仿宋_GB2312" w:cs="仿宋_GB2312"/>
                <w:sz w:val="21"/>
                <w:szCs w:val="21"/>
                <w:vertAlign w:val="baseline"/>
                <w:lang w:val="en-US" w:eastAsia="zh-CN"/>
              </w:rPr>
              <w:t>或开启防护功能，办公计算机设置登陆口令或口令</w:t>
            </w:r>
            <w:r>
              <w:rPr>
                <w:rFonts w:hint="eastAsia" w:ascii="仿宋_GB2312" w:hAnsi="仿宋_GB2312" w:eastAsia="仿宋_GB2312" w:cs="仿宋_GB2312"/>
                <w:sz w:val="21"/>
                <w:szCs w:val="21"/>
                <w:vertAlign w:val="baseline"/>
              </w:rPr>
              <w:t>和屏幕保护程序</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（要求口令六位数以上，字母和数字组合）达90%以上</w:t>
            </w:r>
          </w:p>
        </w:tc>
        <w:tc>
          <w:tcPr>
            <w:tcW w:w="1620" w:type="dxa"/>
            <w:vAlign w:val="center"/>
          </w:tcPr>
          <w:p>
            <w:pPr>
              <w:jc w:val="left"/>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任意一</w:t>
            </w:r>
            <w:r>
              <w:rPr>
                <w:rFonts w:hint="eastAsia" w:ascii="仿宋_GB2312" w:hAnsi="仿宋_GB2312" w:eastAsia="仿宋_GB2312" w:cs="仿宋_GB2312"/>
                <w:sz w:val="21"/>
                <w:szCs w:val="21"/>
                <w:vertAlign w:val="baseline"/>
              </w:rPr>
              <w:t>条不达标，均不得分。</w:t>
            </w:r>
          </w:p>
        </w:tc>
        <w:tc>
          <w:tcPr>
            <w:tcW w:w="1515" w:type="dxa"/>
            <w:vAlign w:val="center"/>
          </w:tcPr>
          <w:p>
            <w:pPr>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现场抽查</w:t>
            </w:r>
          </w:p>
        </w:tc>
        <w:tc>
          <w:tcPr>
            <w:tcW w:w="1080" w:type="dxa"/>
            <w:vAlign w:val="center"/>
          </w:tcPr>
          <w:p>
            <w:pPr>
              <w:jc w:val="center"/>
              <w:rPr>
                <w:rFonts w:hint="eastAsia" w:ascii="仿宋_GB2312" w:hAnsi="仿宋_GB2312" w:eastAsia="仿宋_GB2312" w:cs="仿宋_GB2312"/>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5" w:hRule="atLeast"/>
        </w:trPr>
        <w:tc>
          <w:tcPr>
            <w:tcW w:w="1455" w:type="dxa"/>
            <w:vAlign w:val="center"/>
          </w:tcPr>
          <w:p>
            <w:pPr>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信息资产识别</w:t>
            </w:r>
          </w:p>
        </w:tc>
        <w:tc>
          <w:tcPr>
            <w:tcW w:w="2476" w:type="dxa"/>
            <w:vAlign w:val="center"/>
          </w:tcPr>
          <w:p>
            <w:pPr>
              <w:jc w:val="both"/>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rPr>
              <w:t>建立完备的信息资产登记制度，严格资产管理，明确计算机等设备使用者或管理者及其安全责任</w:t>
            </w:r>
            <w:r>
              <w:rPr>
                <w:rFonts w:hint="eastAsia" w:ascii="仿宋_GB2312" w:hAnsi="仿宋_GB2312" w:eastAsia="仿宋_GB2312" w:cs="仿宋_GB2312"/>
                <w:sz w:val="21"/>
                <w:szCs w:val="21"/>
                <w:vertAlign w:val="baseline"/>
                <w:lang w:eastAsia="zh-CN"/>
              </w:rPr>
              <w:t>。</w:t>
            </w:r>
          </w:p>
        </w:tc>
        <w:tc>
          <w:tcPr>
            <w:tcW w:w="794" w:type="dxa"/>
            <w:vAlign w:val="center"/>
          </w:tcPr>
          <w:p>
            <w:p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w:t>
            </w:r>
          </w:p>
        </w:tc>
        <w:tc>
          <w:tcPr>
            <w:tcW w:w="5235" w:type="dxa"/>
            <w:vAlign w:val="center"/>
          </w:tcPr>
          <w:p>
            <w:pPr>
              <w:numPr>
                <w:ilvl w:val="0"/>
                <w:numId w:val="0"/>
              </w:numPr>
              <w:jc w:val="left"/>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有计算机</w:t>
            </w:r>
            <w:r>
              <w:rPr>
                <w:rFonts w:hint="eastAsia" w:ascii="仿宋_GB2312" w:hAnsi="仿宋_GB2312" w:eastAsia="仿宋_GB2312" w:cs="仿宋_GB2312"/>
                <w:sz w:val="21"/>
                <w:szCs w:val="21"/>
                <w:vertAlign w:val="baseline"/>
              </w:rPr>
              <w:t>资产识别</w:t>
            </w:r>
            <w:r>
              <w:rPr>
                <w:rFonts w:hint="eastAsia" w:ascii="仿宋_GB2312" w:hAnsi="仿宋_GB2312" w:eastAsia="仿宋_GB2312" w:cs="仿宋_GB2312"/>
                <w:sz w:val="21"/>
                <w:szCs w:val="21"/>
                <w:vertAlign w:val="baseline"/>
                <w:lang w:val="en-US" w:eastAsia="zh-CN"/>
              </w:rPr>
              <w:t>记录，</w:t>
            </w:r>
            <w:r>
              <w:rPr>
                <w:rFonts w:hint="eastAsia" w:ascii="仿宋_GB2312" w:hAnsi="仿宋_GB2312" w:eastAsia="仿宋_GB2312" w:cs="仿宋_GB2312"/>
                <w:sz w:val="21"/>
                <w:szCs w:val="21"/>
                <w:vertAlign w:val="baseline"/>
              </w:rPr>
              <w:t>在人员或设备发生变更时，</w:t>
            </w:r>
            <w:r>
              <w:rPr>
                <w:rFonts w:hint="eastAsia" w:ascii="仿宋_GB2312" w:hAnsi="仿宋_GB2312" w:eastAsia="仿宋_GB2312" w:cs="仿宋_GB2312"/>
                <w:sz w:val="21"/>
                <w:szCs w:val="21"/>
                <w:vertAlign w:val="baseline"/>
                <w:lang w:val="en-US" w:eastAsia="zh-CN"/>
              </w:rPr>
              <w:t>计算机</w:t>
            </w:r>
            <w:r>
              <w:rPr>
                <w:rFonts w:hint="eastAsia" w:ascii="仿宋_GB2312" w:hAnsi="仿宋_GB2312" w:eastAsia="仿宋_GB2312" w:cs="仿宋_GB2312"/>
                <w:sz w:val="21"/>
                <w:szCs w:val="21"/>
                <w:vertAlign w:val="baseline"/>
              </w:rPr>
              <w:t>资产识别</w:t>
            </w:r>
            <w:r>
              <w:rPr>
                <w:rFonts w:hint="eastAsia" w:ascii="仿宋_GB2312" w:hAnsi="仿宋_GB2312" w:eastAsia="仿宋_GB2312" w:cs="仿宋_GB2312"/>
                <w:sz w:val="21"/>
                <w:szCs w:val="21"/>
                <w:vertAlign w:val="baseline"/>
                <w:lang w:val="en-US" w:eastAsia="zh-CN"/>
              </w:rPr>
              <w:t>记录</w:t>
            </w:r>
            <w:r>
              <w:rPr>
                <w:rFonts w:hint="eastAsia" w:ascii="仿宋_GB2312" w:hAnsi="仿宋_GB2312" w:eastAsia="仿宋_GB2312" w:cs="仿宋_GB2312"/>
                <w:sz w:val="21"/>
                <w:szCs w:val="21"/>
                <w:vertAlign w:val="baseline"/>
              </w:rPr>
              <w:t>能及时更新</w:t>
            </w:r>
          </w:p>
        </w:tc>
        <w:tc>
          <w:tcPr>
            <w:tcW w:w="1620" w:type="dxa"/>
            <w:vAlign w:val="center"/>
          </w:tcPr>
          <w:p>
            <w:pPr>
              <w:jc w:val="left"/>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任意一</w:t>
            </w:r>
            <w:r>
              <w:rPr>
                <w:rFonts w:hint="eastAsia" w:ascii="仿宋_GB2312" w:hAnsi="仿宋_GB2312" w:eastAsia="仿宋_GB2312" w:cs="仿宋_GB2312"/>
                <w:sz w:val="21"/>
                <w:szCs w:val="21"/>
                <w:vertAlign w:val="baseline"/>
              </w:rPr>
              <w:t>条不达标，此项不得分。</w:t>
            </w:r>
          </w:p>
        </w:tc>
        <w:tc>
          <w:tcPr>
            <w:tcW w:w="1515" w:type="dxa"/>
            <w:vAlign w:val="center"/>
          </w:tcPr>
          <w:p>
            <w:pPr>
              <w:jc w:val="center"/>
              <w:rPr>
                <w:rFonts w:hint="default" w:ascii="仿宋_GB2312" w:hAnsi="仿宋_GB2312" w:eastAsia="仿宋_GB2312" w:cs="仿宋_GB2312"/>
                <w:sz w:val="21"/>
                <w:szCs w:val="21"/>
                <w:vertAlign w:val="baseline"/>
                <w:lang w:val="en-US"/>
              </w:rPr>
            </w:pPr>
            <w:r>
              <w:rPr>
                <w:rFonts w:hint="eastAsia" w:ascii="仿宋_GB2312" w:hAnsi="仿宋_GB2312" w:eastAsia="仿宋_GB2312" w:cs="仿宋_GB2312"/>
                <w:sz w:val="21"/>
                <w:szCs w:val="21"/>
                <w:vertAlign w:val="baseline"/>
                <w:lang w:val="en-US" w:eastAsia="zh-CN"/>
              </w:rPr>
              <w:t>现场查看资料</w:t>
            </w:r>
          </w:p>
        </w:tc>
        <w:tc>
          <w:tcPr>
            <w:tcW w:w="1080" w:type="dxa"/>
            <w:vAlign w:val="center"/>
          </w:tcPr>
          <w:p>
            <w:pPr>
              <w:jc w:val="center"/>
              <w:rPr>
                <w:rFonts w:hint="eastAsia" w:ascii="仿宋_GB2312" w:hAnsi="仿宋_GB2312" w:eastAsia="仿宋_GB2312" w:cs="仿宋_GB2312"/>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8" w:hRule="atLeast"/>
        </w:trPr>
        <w:tc>
          <w:tcPr>
            <w:tcW w:w="1455" w:type="dxa"/>
            <w:vAlign w:val="center"/>
          </w:tcPr>
          <w:p>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业务系统</w:t>
            </w:r>
            <w:r>
              <w:rPr>
                <w:rFonts w:hint="eastAsia" w:ascii="仿宋_GB2312" w:hAnsi="仿宋_GB2312" w:eastAsia="仿宋_GB2312" w:cs="仿宋_GB2312"/>
                <w:sz w:val="21"/>
                <w:szCs w:val="21"/>
                <w:vertAlign w:val="baseline"/>
              </w:rPr>
              <w:t>密码安全</w:t>
            </w:r>
            <w:r>
              <w:rPr>
                <w:rFonts w:hint="eastAsia" w:ascii="仿宋_GB2312" w:hAnsi="仿宋_GB2312" w:eastAsia="仿宋_GB2312" w:cs="仿宋_GB2312"/>
                <w:sz w:val="21"/>
                <w:szCs w:val="21"/>
                <w:vertAlign w:val="baseline"/>
                <w:lang w:val="en-US" w:eastAsia="zh-CN"/>
              </w:rPr>
              <w:t>管理</w:t>
            </w:r>
          </w:p>
        </w:tc>
        <w:tc>
          <w:tcPr>
            <w:tcW w:w="2476" w:type="dxa"/>
            <w:vAlign w:val="center"/>
          </w:tcPr>
          <w:p>
            <w:pPr>
              <w:jc w:val="both"/>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val="en-US" w:eastAsia="zh-CN"/>
              </w:rPr>
              <w:t>财政业务</w:t>
            </w:r>
            <w:r>
              <w:rPr>
                <w:rFonts w:hint="eastAsia" w:ascii="仿宋_GB2312" w:hAnsi="仿宋_GB2312" w:eastAsia="仿宋_GB2312" w:cs="仿宋_GB2312"/>
                <w:sz w:val="21"/>
                <w:szCs w:val="21"/>
                <w:vertAlign w:val="baseline"/>
              </w:rPr>
              <w:t>系统登录密码不得使用</w:t>
            </w:r>
            <w:r>
              <w:rPr>
                <w:rFonts w:hint="eastAsia" w:ascii="仿宋_GB2312" w:hAnsi="仿宋_GB2312" w:eastAsia="仿宋_GB2312" w:cs="仿宋_GB2312"/>
                <w:sz w:val="21"/>
                <w:szCs w:val="21"/>
                <w:vertAlign w:val="baseline"/>
                <w:lang w:val="en-US" w:eastAsia="zh-CN"/>
              </w:rPr>
              <w:t>默认</w:t>
            </w:r>
            <w:r>
              <w:rPr>
                <w:rFonts w:hint="eastAsia" w:ascii="仿宋_GB2312" w:hAnsi="仿宋_GB2312" w:eastAsia="仿宋_GB2312" w:cs="仿宋_GB2312"/>
                <w:sz w:val="21"/>
                <w:szCs w:val="21"/>
                <w:vertAlign w:val="baseline"/>
              </w:rPr>
              <w:t>密码，密码需符合复杂度要求</w:t>
            </w:r>
            <w:r>
              <w:rPr>
                <w:rFonts w:hint="eastAsia" w:ascii="仿宋_GB2312" w:hAnsi="仿宋_GB2312" w:eastAsia="仿宋_GB2312" w:cs="仿宋_GB2312"/>
                <w:sz w:val="21"/>
                <w:szCs w:val="21"/>
                <w:vertAlign w:val="baseline"/>
                <w:lang w:eastAsia="zh-CN"/>
              </w:rPr>
              <w:t>。</w:t>
            </w:r>
          </w:p>
        </w:tc>
        <w:tc>
          <w:tcPr>
            <w:tcW w:w="794" w:type="dxa"/>
            <w:vAlign w:val="center"/>
          </w:tcPr>
          <w:p>
            <w:p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10</w:t>
            </w:r>
          </w:p>
        </w:tc>
        <w:tc>
          <w:tcPr>
            <w:tcW w:w="5235" w:type="dxa"/>
            <w:vAlign w:val="center"/>
          </w:tcPr>
          <w:p>
            <w:pPr>
              <w:jc w:val="left"/>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财政</w:t>
            </w:r>
            <w:r>
              <w:rPr>
                <w:rFonts w:hint="eastAsia" w:ascii="仿宋_GB2312" w:hAnsi="仿宋_GB2312" w:eastAsia="仿宋_GB2312" w:cs="仿宋_GB2312"/>
                <w:sz w:val="21"/>
                <w:szCs w:val="21"/>
                <w:vertAlign w:val="baseline"/>
              </w:rPr>
              <w:t>业务系统、网络准入系统使用默认密码或密码复杂度符合要求(六位数以上，字母</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rPr>
              <w:t>数字和</w:t>
            </w:r>
            <w:r>
              <w:rPr>
                <w:rFonts w:hint="eastAsia" w:ascii="仿宋_GB2312" w:hAnsi="仿宋_GB2312" w:eastAsia="仿宋_GB2312" w:cs="仿宋_GB2312"/>
                <w:sz w:val="21"/>
                <w:szCs w:val="21"/>
                <w:vertAlign w:val="baseline"/>
                <w:lang w:val="en-US" w:eastAsia="zh-CN"/>
              </w:rPr>
              <w:t>大小写复杂</w:t>
            </w:r>
            <w:r>
              <w:rPr>
                <w:rFonts w:hint="eastAsia" w:ascii="仿宋_GB2312" w:hAnsi="仿宋_GB2312" w:eastAsia="仿宋_GB2312" w:cs="仿宋_GB2312"/>
                <w:sz w:val="21"/>
                <w:szCs w:val="21"/>
                <w:vertAlign w:val="baseline"/>
              </w:rPr>
              <w:t>组合)</w:t>
            </w:r>
          </w:p>
        </w:tc>
        <w:tc>
          <w:tcPr>
            <w:tcW w:w="1620" w:type="dxa"/>
            <w:vAlign w:val="center"/>
          </w:tcPr>
          <w:p>
            <w:pPr>
              <w:jc w:val="left"/>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任意一</w:t>
            </w:r>
            <w:r>
              <w:rPr>
                <w:rFonts w:hint="eastAsia" w:ascii="仿宋_GB2312" w:hAnsi="仿宋_GB2312" w:eastAsia="仿宋_GB2312" w:cs="仿宋_GB2312"/>
                <w:sz w:val="21"/>
                <w:szCs w:val="21"/>
                <w:vertAlign w:val="baseline"/>
              </w:rPr>
              <w:t>条不达标，均不得分。</w:t>
            </w:r>
          </w:p>
        </w:tc>
        <w:tc>
          <w:tcPr>
            <w:tcW w:w="1515" w:type="dxa"/>
            <w:vAlign w:val="center"/>
          </w:tcPr>
          <w:p>
            <w:pPr>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现场抽查</w:t>
            </w:r>
          </w:p>
        </w:tc>
        <w:tc>
          <w:tcPr>
            <w:tcW w:w="1080" w:type="dxa"/>
            <w:vAlign w:val="center"/>
          </w:tcPr>
          <w:p>
            <w:pPr>
              <w:jc w:val="center"/>
              <w:rPr>
                <w:rFonts w:hint="eastAsia" w:ascii="仿宋_GB2312" w:hAnsi="仿宋_GB2312" w:eastAsia="仿宋_GB2312" w:cs="仿宋_GB2312"/>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vAlign w:val="center"/>
          </w:tcPr>
          <w:p>
            <w:pPr>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应急处置管理</w:t>
            </w:r>
          </w:p>
        </w:tc>
        <w:tc>
          <w:tcPr>
            <w:tcW w:w="2476" w:type="dxa"/>
            <w:vAlign w:val="center"/>
          </w:tcPr>
          <w:p>
            <w:pPr>
              <w:jc w:val="both"/>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rPr>
              <w:t>当发生网络安全事件(例如病毒爆发、数据丢失</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境外攻击</w:t>
            </w:r>
            <w:r>
              <w:rPr>
                <w:rFonts w:hint="eastAsia" w:ascii="仿宋_GB2312" w:hAnsi="仿宋_GB2312" w:eastAsia="仿宋_GB2312" w:cs="仿宋_GB2312"/>
                <w:sz w:val="21"/>
                <w:szCs w:val="21"/>
                <w:vertAlign w:val="baseline"/>
              </w:rPr>
              <w:t>)时，安全员应</w:t>
            </w:r>
            <w:r>
              <w:rPr>
                <w:rFonts w:hint="eastAsia" w:ascii="仿宋_GB2312" w:hAnsi="仿宋_GB2312" w:eastAsia="仿宋_GB2312" w:cs="仿宋_GB2312"/>
                <w:sz w:val="21"/>
                <w:szCs w:val="21"/>
                <w:vertAlign w:val="baseline"/>
                <w:lang w:val="en-US" w:eastAsia="zh-CN"/>
              </w:rPr>
              <w:t>第一时间</w:t>
            </w:r>
            <w:r>
              <w:rPr>
                <w:rFonts w:hint="eastAsia" w:ascii="仿宋_GB2312" w:hAnsi="仿宋_GB2312" w:eastAsia="仿宋_GB2312" w:cs="仿宋_GB2312"/>
                <w:sz w:val="21"/>
                <w:szCs w:val="21"/>
                <w:vertAlign w:val="baseline"/>
              </w:rPr>
              <w:t>按照网络安全</w:t>
            </w:r>
            <w:r>
              <w:rPr>
                <w:rFonts w:hint="eastAsia" w:ascii="仿宋_GB2312" w:hAnsi="仿宋_GB2312" w:eastAsia="仿宋_GB2312" w:cs="仿宋_GB2312"/>
                <w:sz w:val="21"/>
                <w:szCs w:val="21"/>
                <w:vertAlign w:val="baseline"/>
                <w:lang w:val="en-US" w:eastAsia="zh-CN"/>
              </w:rPr>
              <w:t>应急管理制度</w:t>
            </w:r>
            <w:r>
              <w:rPr>
                <w:rFonts w:hint="eastAsia" w:ascii="仿宋_GB2312" w:hAnsi="仿宋_GB2312" w:eastAsia="仿宋_GB2312" w:cs="仿宋_GB2312"/>
                <w:sz w:val="21"/>
                <w:szCs w:val="21"/>
                <w:vertAlign w:val="baseline"/>
              </w:rPr>
              <w:t>通知对</w:t>
            </w:r>
            <w:r>
              <w:rPr>
                <w:rFonts w:hint="eastAsia" w:ascii="仿宋_GB2312" w:hAnsi="仿宋_GB2312" w:eastAsia="仿宋_GB2312" w:cs="仿宋_GB2312"/>
                <w:sz w:val="21"/>
                <w:szCs w:val="21"/>
                <w:vertAlign w:val="baseline"/>
                <w:lang w:val="en-US" w:eastAsia="zh-CN"/>
              </w:rPr>
              <w:t>上级、</w:t>
            </w:r>
            <w:r>
              <w:rPr>
                <w:rFonts w:hint="eastAsia" w:ascii="仿宋_GB2312" w:hAnsi="仿宋_GB2312" w:eastAsia="仿宋_GB2312" w:cs="仿宋_GB2312"/>
                <w:sz w:val="21"/>
                <w:szCs w:val="21"/>
                <w:vertAlign w:val="baseline"/>
              </w:rPr>
              <w:t>本部门</w:t>
            </w:r>
            <w:r>
              <w:rPr>
                <w:rFonts w:hint="eastAsia" w:ascii="仿宋_GB2312" w:hAnsi="仿宋_GB2312" w:eastAsia="仿宋_GB2312" w:cs="仿宋_GB2312"/>
                <w:sz w:val="21"/>
                <w:szCs w:val="21"/>
                <w:vertAlign w:val="baseline"/>
                <w:lang w:val="en-US" w:eastAsia="zh-CN"/>
              </w:rPr>
              <w:t>相关责任人</w:t>
            </w:r>
            <w:r>
              <w:rPr>
                <w:rFonts w:hint="eastAsia" w:ascii="仿宋_GB2312" w:hAnsi="仿宋_GB2312" w:eastAsia="仿宋_GB2312" w:cs="仿宋_GB2312"/>
                <w:sz w:val="21"/>
                <w:szCs w:val="21"/>
                <w:vertAlign w:val="baseline"/>
              </w:rPr>
              <w:t>进行应急处置</w:t>
            </w:r>
            <w:r>
              <w:rPr>
                <w:rFonts w:hint="eastAsia" w:ascii="仿宋_GB2312" w:hAnsi="仿宋_GB2312" w:eastAsia="仿宋_GB2312" w:cs="仿宋_GB2312"/>
                <w:sz w:val="21"/>
                <w:szCs w:val="21"/>
                <w:vertAlign w:val="baseline"/>
                <w:lang w:eastAsia="zh-CN"/>
              </w:rPr>
              <w:t>。</w:t>
            </w:r>
          </w:p>
        </w:tc>
        <w:tc>
          <w:tcPr>
            <w:tcW w:w="794" w:type="dxa"/>
            <w:vAlign w:val="center"/>
          </w:tcPr>
          <w:p>
            <w:p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w:t>
            </w:r>
          </w:p>
        </w:tc>
        <w:tc>
          <w:tcPr>
            <w:tcW w:w="5235" w:type="dxa"/>
            <w:vAlign w:val="center"/>
          </w:tcPr>
          <w:p>
            <w:pPr>
              <w:numPr>
                <w:ilvl w:val="0"/>
                <w:numId w:val="0"/>
              </w:numPr>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1、制定本地区部门网络应急预案并定期开展演练（10）</w:t>
            </w:r>
          </w:p>
          <w:p>
            <w:pPr>
              <w:numPr>
                <w:ilvl w:val="0"/>
                <w:numId w:val="0"/>
              </w:numPr>
              <w:jc w:val="left"/>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2、</w:t>
            </w:r>
            <w:r>
              <w:rPr>
                <w:rFonts w:hint="eastAsia" w:ascii="仿宋_GB2312" w:hAnsi="仿宋_GB2312" w:eastAsia="仿宋_GB2312" w:cs="仿宋_GB2312"/>
                <w:sz w:val="21"/>
                <w:szCs w:val="21"/>
                <w:vertAlign w:val="baseline"/>
              </w:rPr>
              <w:t>及时</w:t>
            </w:r>
            <w:r>
              <w:rPr>
                <w:rFonts w:hint="eastAsia" w:ascii="仿宋_GB2312" w:hAnsi="仿宋_GB2312" w:eastAsia="仿宋_GB2312" w:cs="仿宋_GB2312"/>
                <w:sz w:val="21"/>
                <w:szCs w:val="21"/>
                <w:vertAlign w:val="baseline"/>
                <w:lang w:val="en-US" w:eastAsia="zh-CN"/>
              </w:rPr>
              <w:t>按照相关制度</w:t>
            </w:r>
            <w:r>
              <w:rPr>
                <w:rFonts w:hint="eastAsia" w:ascii="仿宋_GB2312" w:hAnsi="仿宋_GB2312" w:eastAsia="仿宋_GB2312" w:cs="仿宋_GB2312"/>
                <w:sz w:val="21"/>
                <w:szCs w:val="21"/>
                <w:vertAlign w:val="baseline"/>
              </w:rPr>
              <w:t>进行应急处置</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未</w:t>
            </w:r>
            <w:r>
              <w:rPr>
                <w:rFonts w:hint="eastAsia" w:ascii="仿宋_GB2312" w:hAnsi="仿宋_GB2312" w:eastAsia="仿宋_GB2312" w:cs="仿宋_GB2312"/>
                <w:color w:val="000000"/>
                <w:kern w:val="0"/>
                <w:sz w:val="21"/>
                <w:szCs w:val="21"/>
                <w:lang w:val="en-US" w:eastAsia="zh-CN"/>
              </w:rPr>
              <w:t>出现重大网络安全事故被上级主管部门通报（10分）</w:t>
            </w:r>
          </w:p>
        </w:tc>
        <w:tc>
          <w:tcPr>
            <w:tcW w:w="1620" w:type="dxa"/>
            <w:vAlign w:val="center"/>
          </w:tcPr>
          <w:p>
            <w:pPr>
              <w:jc w:val="left"/>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rPr>
              <w:t>不达标，</w:t>
            </w:r>
            <w:r>
              <w:rPr>
                <w:rFonts w:hint="eastAsia" w:ascii="仿宋_GB2312" w:hAnsi="仿宋_GB2312" w:eastAsia="仿宋_GB2312" w:cs="仿宋_GB2312"/>
                <w:sz w:val="21"/>
                <w:szCs w:val="21"/>
                <w:vertAlign w:val="baseline"/>
                <w:lang w:val="en-US" w:eastAsia="zh-CN"/>
              </w:rPr>
              <w:t>该项扣除相应分数</w:t>
            </w:r>
            <w:r>
              <w:rPr>
                <w:rFonts w:hint="eastAsia" w:ascii="仿宋_GB2312" w:hAnsi="仿宋_GB2312" w:eastAsia="仿宋_GB2312" w:cs="仿宋_GB2312"/>
                <w:sz w:val="21"/>
                <w:szCs w:val="21"/>
                <w:vertAlign w:val="baseline"/>
              </w:rPr>
              <w:t>。</w:t>
            </w:r>
            <w:r>
              <w:rPr>
                <w:rFonts w:hint="eastAsia" w:ascii="仿宋_GB2312" w:hAnsi="仿宋_GB2312" w:eastAsia="仿宋_GB2312" w:cs="仿宋_GB2312"/>
                <w:sz w:val="21"/>
                <w:szCs w:val="21"/>
                <w:vertAlign w:val="baseline"/>
                <w:lang w:val="en-US" w:eastAsia="zh-CN"/>
              </w:rPr>
              <w:t>第三条市级扣5分，省级以上不得分</w:t>
            </w:r>
          </w:p>
        </w:tc>
        <w:tc>
          <w:tcPr>
            <w:tcW w:w="1515" w:type="dxa"/>
            <w:vAlign w:val="center"/>
          </w:tcPr>
          <w:p>
            <w:pPr>
              <w:jc w:val="center"/>
              <w:rPr>
                <w:rFonts w:hint="default" w:ascii="仿宋_GB2312" w:hAnsi="仿宋_GB2312" w:eastAsia="仿宋_GB2312" w:cs="仿宋_GB2312"/>
                <w:sz w:val="21"/>
                <w:szCs w:val="21"/>
                <w:vertAlign w:val="baseline"/>
                <w:lang w:val="en-US"/>
              </w:rPr>
            </w:pPr>
            <w:r>
              <w:rPr>
                <w:rFonts w:hint="eastAsia" w:ascii="仿宋_GB2312" w:hAnsi="仿宋_GB2312" w:eastAsia="仿宋_GB2312" w:cs="仿宋_GB2312"/>
                <w:sz w:val="21"/>
                <w:szCs w:val="21"/>
                <w:vertAlign w:val="baseline"/>
                <w:lang w:val="en-US" w:eastAsia="zh-CN"/>
              </w:rPr>
              <w:t>现场查看资料和上级通报</w:t>
            </w:r>
          </w:p>
        </w:tc>
        <w:tc>
          <w:tcPr>
            <w:tcW w:w="1080" w:type="dxa"/>
            <w:vAlign w:val="center"/>
          </w:tcPr>
          <w:p>
            <w:pPr>
              <w:jc w:val="center"/>
              <w:rPr>
                <w:rFonts w:hint="eastAsia" w:ascii="仿宋_GB2312" w:hAnsi="仿宋_GB2312" w:eastAsia="仿宋_GB2312" w:cs="仿宋_GB2312"/>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3" w:hRule="atLeast"/>
        </w:trPr>
        <w:tc>
          <w:tcPr>
            <w:tcW w:w="1455" w:type="dxa"/>
            <w:vAlign w:val="center"/>
          </w:tcPr>
          <w:p>
            <w:pPr>
              <w:widowControl/>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color w:val="000000"/>
                <w:kern w:val="0"/>
                <w:sz w:val="21"/>
                <w:szCs w:val="21"/>
              </w:rPr>
              <w:t>组织活动和工作部署</w:t>
            </w:r>
          </w:p>
        </w:tc>
        <w:tc>
          <w:tcPr>
            <w:tcW w:w="2476" w:type="dxa"/>
            <w:vAlign w:val="center"/>
          </w:tcPr>
          <w:p>
            <w:pPr>
              <w:widowControl/>
              <w:jc w:val="both"/>
              <w:rPr>
                <w:rFonts w:hint="eastAsia" w:ascii="仿宋_GB2312" w:hAnsi="仿宋_GB2312" w:eastAsia="仿宋_GB2312" w:cs="仿宋_GB2312"/>
                <w:sz w:val="21"/>
                <w:szCs w:val="21"/>
                <w:vertAlign w:val="baseline"/>
              </w:rPr>
            </w:pPr>
            <w:r>
              <w:rPr>
                <w:rFonts w:hint="eastAsia" w:ascii="仿宋_GB2312" w:hAnsi="仿宋_GB2312" w:eastAsia="仿宋_GB2312" w:cs="仿宋_GB2312"/>
                <w:color w:val="000000"/>
                <w:kern w:val="0"/>
                <w:sz w:val="21"/>
                <w:szCs w:val="21"/>
              </w:rPr>
              <w:t>参加财政厅</w:t>
            </w:r>
            <w:r>
              <w:rPr>
                <w:rFonts w:hint="eastAsia" w:ascii="仿宋_GB2312" w:hAnsi="仿宋_GB2312" w:eastAsia="仿宋_GB2312" w:cs="仿宋_GB2312"/>
                <w:color w:val="000000"/>
                <w:kern w:val="0"/>
                <w:sz w:val="21"/>
                <w:szCs w:val="21"/>
                <w:lang w:val="en-US" w:eastAsia="zh-CN"/>
              </w:rPr>
              <w:t>或市局</w:t>
            </w:r>
            <w:r>
              <w:rPr>
                <w:rFonts w:hint="eastAsia" w:ascii="仿宋_GB2312" w:hAnsi="仿宋_GB2312" w:eastAsia="仿宋_GB2312" w:cs="仿宋_GB2312"/>
                <w:color w:val="000000"/>
                <w:kern w:val="0"/>
                <w:sz w:val="21"/>
                <w:szCs w:val="21"/>
              </w:rPr>
              <w:t>组织活动,认真落实信息通报工作部署</w:t>
            </w:r>
          </w:p>
        </w:tc>
        <w:tc>
          <w:tcPr>
            <w:tcW w:w="794" w:type="dxa"/>
            <w:vAlign w:val="center"/>
          </w:tcPr>
          <w:p>
            <w:pPr>
              <w:widowControl/>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rPr>
              <w:t>10分</w:t>
            </w:r>
          </w:p>
        </w:tc>
        <w:tc>
          <w:tcPr>
            <w:tcW w:w="5235" w:type="dxa"/>
            <w:vAlign w:val="center"/>
          </w:tcPr>
          <w:p>
            <w:pPr>
              <w:widowControl/>
              <w:numPr>
                <w:ilvl w:val="0"/>
                <w:numId w:val="3"/>
              </w:numPr>
              <w:jc w:val="both"/>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val="en-US" w:eastAsia="zh-CN"/>
              </w:rPr>
              <w:t>积极</w:t>
            </w:r>
            <w:r>
              <w:rPr>
                <w:rFonts w:hint="eastAsia" w:ascii="仿宋_GB2312" w:hAnsi="仿宋_GB2312" w:eastAsia="仿宋_GB2312" w:cs="仿宋_GB2312"/>
                <w:color w:val="000000"/>
                <w:kern w:val="0"/>
                <w:sz w:val="21"/>
                <w:szCs w:val="21"/>
              </w:rPr>
              <w:t>参加</w:t>
            </w:r>
            <w:r>
              <w:rPr>
                <w:rFonts w:hint="eastAsia" w:ascii="仿宋_GB2312" w:hAnsi="仿宋_GB2312" w:eastAsia="仿宋_GB2312" w:cs="仿宋_GB2312"/>
                <w:color w:val="000000"/>
                <w:kern w:val="0"/>
                <w:sz w:val="21"/>
                <w:szCs w:val="21"/>
                <w:lang w:val="en-US" w:eastAsia="zh-CN"/>
              </w:rPr>
              <w:t>信息工作</w:t>
            </w:r>
            <w:r>
              <w:rPr>
                <w:rFonts w:hint="eastAsia" w:ascii="仿宋_GB2312" w:hAnsi="仿宋_GB2312" w:eastAsia="仿宋_GB2312" w:cs="仿宋_GB2312"/>
                <w:color w:val="000000"/>
                <w:kern w:val="0"/>
                <w:sz w:val="21"/>
                <w:szCs w:val="21"/>
              </w:rPr>
              <w:t>会商研判,</w:t>
            </w:r>
            <w:r>
              <w:rPr>
                <w:rFonts w:hint="eastAsia" w:ascii="仿宋_GB2312" w:hAnsi="仿宋_GB2312" w:eastAsia="仿宋_GB2312" w:cs="仿宋_GB2312"/>
                <w:color w:val="000000"/>
                <w:kern w:val="0"/>
                <w:sz w:val="21"/>
                <w:szCs w:val="21"/>
                <w:lang w:val="en-US" w:eastAsia="zh-CN"/>
              </w:rPr>
              <w:t>不</w:t>
            </w:r>
            <w:r>
              <w:rPr>
                <w:rFonts w:hint="eastAsia" w:ascii="仿宋_GB2312" w:hAnsi="仿宋_GB2312" w:eastAsia="仿宋_GB2312" w:cs="仿宋_GB2312"/>
                <w:color w:val="000000"/>
                <w:kern w:val="0"/>
                <w:sz w:val="21"/>
                <w:szCs w:val="21"/>
              </w:rPr>
              <w:t>无故缺席会议和活动</w:t>
            </w:r>
            <w:r>
              <w:rPr>
                <w:rFonts w:hint="eastAsia" w:ascii="仿宋_GB2312" w:hAnsi="仿宋_GB2312" w:eastAsia="仿宋_GB2312" w:cs="仿宋_GB2312"/>
                <w:color w:val="000000"/>
                <w:kern w:val="0"/>
                <w:sz w:val="21"/>
                <w:szCs w:val="21"/>
                <w:lang w:eastAsia="zh-CN"/>
              </w:rPr>
              <w:t>（</w:t>
            </w:r>
            <w:r>
              <w:rPr>
                <w:rFonts w:hint="eastAsia" w:ascii="仿宋_GB2312" w:hAnsi="仿宋_GB2312" w:eastAsia="仿宋_GB2312" w:cs="仿宋_GB2312"/>
                <w:color w:val="000000"/>
                <w:kern w:val="0"/>
                <w:sz w:val="21"/>
                <w:szCs w:val="21"/>
                <w:lang w:val="en-US" w:eastAsia="zh-CN"/>
              </w:rPr>
              <w:t>5分</w:t>
            </w:r>
            <w:r>
              <w:rPr>
                <w:rFonts w:hint="eastAsia" w:ascii="仿宋_GB2312" w:hAnsi="仿宋_GB2312" w:eastAsia="仿宋_GB2312" w:cs="仿宋_GB2312"/>
                <w:color w:val="000000"/>
                <w:kern w:val="0"/>
                <w:sz w:val="21"/>
                <w:szCs w:val="21"/>
                <w:lang w:eastAsia="zh-CN"/>
              </w:rPr>
              <w:t>）</w:t>
            </w:r>
          </w:p>
          <w:p>
            <w:pPr>
              <w:widowControl/>
              <w:numPr>
                <w:ilvl w:val="0"/>
                <w:numId w:val="3"/>
              </w:numPr>
              <w:jc w:val="both"/>
              <w:rPr>
                <w:rFonts w:hint="eastAsia" w:ascii="仿宋_GB2312" w:hAnsi="仿宋_GB2312" w:eastAsia="仿宋_GB2312" w:cs="仿宋_GB2312"/>
                <w:sz w:val="21"/>
                <w:szCs w:val="21"/>
                <w:vertAlign w:val="baseline"/>
              </w:rPr>
            </w:pPr>
            <w:r>
              <w:rPr>
                <w:rFonts w:hint="eastAsia" w:ascii="仿宋_GB2312" w:hAnsi="仿宋_GB2312" w:eastAsia="仿宋_GB2312" w:cs="仿宋_GB2312"/>
                <w:color w:val="000000"/>
                <w:kern w:val="0"/>
                <w:sz w:val="21"/>
                <w:szCs w:val="21"/>
                <w:lang w:val="en-US" w:eastAsia="zh-CN"/>
              </w:rPr>
              <w:t>积极</w:t>
            </w:r>
            <w:r>
              <w:rPr>
                <w:rFonts w:hint="eastAsia" w:ascii="仿宋_GB2312" w:hAnsi="仿宋_GB2312" w:eastAsia="仿宋_GB2312" w:cs="仿宋_GB2312"/>
                <w:color w:val="000000"/>
                <w:kern w:val="0"/>
                <w:sz w:val="21"/>
                <w:szCs w:val="21"/>
              </w:rPr>
              <w:t>落实</w:t>
            </w:r>
            <w:r>
              <w:rPr>
                <w:rFonts w:hint="eastAsia" w:ascii="仿宋_GB2312" w:hAnsi="仿宋_GB2312" w:eastAsia="仿宋_GB2312" w:cs="仿宋_GB2312"/>
                <w:color w:val="000000"/>
                <w:kern w:val="0"/>
                <w:sz w:val="21"/>
                <w:szCs w:val="21"/>
                <w:lang w:val="en-US" w:eastAsia="zh-CN"/>
              </w:rPr>
              <w:t>全市财政</w:t>
            </w:r>
            <w:r>
              <w:rPr>
                <w:rFonts w:hint="eastAsia" w:ascii="仿宋_GB2312" w:hAnsi="仿宋_GB2312" w:eastAsia="仿宋_GB2312" w:cs="仿宋_GB2312"/>
                <w:color w:val="000000"/>
                <w:kern w:val="0"/>
                <w:sz w:val="21"/>
                <w:szCs w:val="21"/>
              </w:rPr>
              <w:t>信息工作部署</w:t>
            </w:r>
            <w:r>
              <w:rPr>
                <w:rFonts w:hint="eastAsia" w:ascii="仿宋_GB2312" w:hAnsi="仿宋_GB2312" w:eastAsia="仿宋_GB2312" w:cs="仿宋_GB2312"/>
                <w:color w:val="000000"/>
                <w:kern w:val="0"/>
                <w:sz w:val="21"/>
                <w:szCs w:val="21"/>
                <w:lang w:eastAsia="zh-CN"/>
              </w:rPr>
              <w:t>（</w:t>
            </w:r>
            <w:r>
              <w:rPr>
                <w:rFonts w:hint="eastAsia" w:ascii="仿宋_GB2312" w:hAnsi="仿宋_GB2312" w:eastAsia="仿宋_GB2312" w:cs="仿宋_GB2312"/>
                <w:color w:val="000000"/>
                <w:kern w:val="0"/>
                <w:sz w:val="21"/>
                <w:szCs w:val="21"/>
                <w:lang w:val="en-US" w:eastAsia="zh-CN"/>
              </w:rPr>
              <w:t>5分</w:t>
            </w:r>
            <w:r>
              <w:rPr>
                <w:rFonts w:hint="eastAsia" w:ascii="仿宋_GB2312" w:hAnsi="仿宋_GB2312" w:eastAsia="仿宋_GB2312" w:cs="仿宋_GB2312"/>
                <w:color w:val="000000"/>
                <w:kern w:val="0"/>
                <w:sz w:val="21"/>
                <w:szCs w:val="21"/>
                <w:lang w:eastAsia="zh-CN"/>
              </w:rPr>
              <w:t>）</w:t>
            </w:r>
          </w:p>
        </w:tc>
        <w:tc>
          <w:tcPr>
            <w:tcW w:w="1620" w:type="dxa"/>
            <w:vAlign w:val="center"/>
          </w:tcPr>
          <w:p>
            <w:pPr>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rPr>
              <w:t>不达标，</w:t>
            </w:r>
            <w:r>
              <w:rPr>
                <w:rFonts w:hint="eastAsia" w:ascii="仿宋_GB2312" w:hAnsi="仿宋_GB2312" w:eastAsia="仿宋_GB2312" w:cs="仿宋_GB2312"/>
                <w:sz w:val="21"/>
                <w:szCs w:val="21"/>
                <w:vertAlign w:val="baseline"/>
                <w:lang w:val="en-US" w:eastAsia="zh-CN"/>
              </w:rPr>
              <w:t>扣除相应分数</w:t>
            </w:r>
            <w:r>
              <w:rPr>
                <w:rFonts w:hint="eastAsia" w:ascii="仿宋_GB2312" w:hAnsi="仿宋_GB2312" w:eastAsia="仿宋_GB2312" w:cs="仿宋_GB2312"/>
                <w:sz w:val="21"/>
                <w:szCs w:val="21"/>
                <w:vertAlign w:val="baseline"/>
              </w:rPr>
              <w:t>。</w:t>
            </w:r>
          </w:p>
        </w:tc>
        <w:tc>
          <w:tcPr>
            <w:tcW w:w="1515" w:type="dxa"/>
            <w:vAlign w:val="center"/>
          </w:tcPr>
          <w:p>
            <w:p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市级考核</w:t>
            </w:r>
          </w:p>
        </w:tc>
        <w:tc>
          <w:tcPr>
            <w:tcW w:w="1080" w:type="dxa"/>
            <w:vAlign w:val="center"/>
          </w:tcPr>
          <w:p>
            <w:pPr>
              <w:jc w:val="center"/>
              <w:rPr>
                <w:rFonts w:hint="eastAsia" w:ascii="仿宋_GB2312" w:hAnsi="仿宋_GB2312" w:eastAsia="仿宋_GB2312" w:cs="仿宋_GB2312"/>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3" w:hRule="atLeast"/>
        </w:trPr>
        <w:tc>
          <w:tcPr>
            <w:tcW w:w="1455" w:type="dxa"/>
            <w:vMerge w:val="restart"/>
            <w:vAlign w:val="center"/>
          </w:tcPr>
          <w:p>
            <w:pPr>
              <w:widowControl/>
              <w:jc w:val="center"/>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加分</w:t>
            </w:r>
          </w:p>
        </w:tc>
        <w:tc>
          <w:tcPr>
            <w:tcW w:w="2476" w:type="dxa"/>
            <w:vAlign w:val="center"/>
          </w:tcPr>
          <w:p>
            <w:pPr>
              <w:widowControl/>
              <w:jc w:val="both"/>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参加财政厅</w:t>
            </w:r>
            <w:r>
              <w:rPr>
                <w:rFonts w:hint="eastAsia" w:ascii="仿宋_GB2312" w:hAnsi="仿宋_GB2312" w:eastAsia="仿宋_GB2312" w:cs="仿宋_GB2312"/>
                <w:color w:val="000000"/>
                <w:kern w:val="0"/>
                <w:sz w:val="21"/>
                <w:szCs w:val="21"/>
                <w:lang w:eastAsia="zh-CN"/>
              </w:rPr>
              <w:t>、</w:t>
            </w:r>
            <w:r>
              <w:rPr>
                <w:rFonts w:hint="eastAsia" w:ascii="仿宋_GB2312" w:hAnsi="仿宋_GB2312" w:eastAsia="仿宋_GB2312" w:cs="仿宋_GB2312"/>
                <w:color w:val="000000"/>
                <w:kern w:val="0"/>
                <w:sz w:val="21"/>
                <w:szCs w:val="21"/>
                <w:lang w:val="en-US" w:eastAsia="zh-CN"/>
              </w:rPr>
              <w:t>市局</w:t>
            </w:r>
            <w:r>
              <w:rPr>
                <w:rFonts w:hint="eastAsia" w:ascii="仿宋_GB2312" w:hAnsi="仿宋_GB2312" w:eastAsia="仿宋_GB2312" w:cs="仿宋_GB2312"/>
                <w:color w:val="000000"/>
                <w:kern w:val="0"/>
                <w:sz w:val="21"/>
                <w:szCs w:val="21"/>
              </w:rPr>
              <w:t>组织活动,按时按质完成专题约稿,认真落实信息通报工作部署</w:t>
            </w:r>
          </w:p>
        </w:tc>
        <w:tc>
          <w:tcPr>
            <w:tcW w:w="794" w:type="dxa"/>
            <w:vAlign w:val="center"/>
          </w:tcPr>
          <w:p>
            <w:pPr>
              <w:widowControl/>
              <w:jc w:val="center"/>
              <w:rPr>
                <w:rFonts w:hint="eastAsia" w:ascii="仿宋_GB2312" w:hAnsi="仿宋_GB2312" w:eastAsia="仿宋_GB2312" w:cs="仿宋_GB2312"/>
                <w:color w:val="000000"/>
                <w:kern w:val="0"/>
                <w:sz w:val="21"/>
                <w:szCs w:val="21"/>
              </w:rPr>
            </w:pPr>
          </w:p>
        </w:tc>
        <w:tc>
          <w:tcPr>
            <w:tcW w:w="5235" w:type="dxa"/>
            <w:vAlign w:val="center"/>
          </w:tcPr>
          <w:p>
            <w:pPr>
              <w:widowControl/>
              <w:numPr>
                <w:ilvl w:val="0"/>
                <w:numId w:val="0"/>
              </w:numPr>
              <w:jc w:val="both"/>
              <w:rPr>
                <w:rFonts w:hint="default" w:ascii="仿宋_GB2312" w:hAnsi="仿宋_GB2312" w:eastAsia="仿宋_GB2312" w:cs="仿宋_GB2312"/>
                <w:color w:val="000000"/>
                <w:kern w:val="0"/>
                <w:sz w:val="21"/>
                <w:szCs w:val="21"/>
                <w:lang w:val="en-US" w:eastAsia="zh-CN"/>
              </w:rPr>
            </w:pPr>
            <w:r>
              <w:rPr>
                <w:rFonts w:hint="default" w:ascii="仿宋_GB2312" w:hAnsi="仿宋_GB2312" w:eastAsia="仿宋_GB2312" w:cs="仿宋_GB2312"/>
                <w:color w:val="000000"/>
                <w:kern w:val="0"/>
                <w:sz w:val="21"/>
                <w:szCs w:val="21"/>
                <w:lang w:val="en-US" w:eastAsia="zh-CN"/>
              </w:rPr>
              <w:t>网络安全信息完整、准确，上报工作及时</w:t>
            </w:r>
          </w:p>
        </w:tc>
        <w:tc>
          <w:tcPr>
            <w:tcW w:w="1620" w:type="dxa"/>
            <w:vAlign w:val="center"/>
          </w:tcPr>
          <w:p>
            <w:pPr>
              <w:jc w:val="left"/>
              <w:rPr>
                <w:rFonts w:hint="eastAsia" w:ascii="仿宋_GB2312" w:hAnsi="仿宋_GB2312" w:eastAsia="仿宋_GB2312" w:cs="仿宋_GB2312"/>
                <w:sz w:val="21"/>
                <w:szCs w:val="21"/>
                <w:vertAlign w:val="baseline"/>
              </w:rPr>
            </w:pPr>
            <w:r>
              <w:rPr>
                <w:rFonts w:hint="eastAsia" w:ascii="仿宋_GB2312" w:hAnsi="仿宋_GB2312" w:eastAsia="仿宋_GB2312" w:cs="仿宋_GB2312"/>
                <w:color w:val="000000"/>
                <w:kern w:val="0"/>
                <w:sz w:val="21"/>
                <w:szCs w:val="21"/>
                <w:lang w:val="en-US" w:eastAsia="zh-CN"/>
              </w:rPr>
              <w:t>稿件被财政部每篇加5分，省厅采用每篇加3分，市局采用每篇加1分</w:t>
            </w:r>
          </w:p>
        </w:tc>
        <w:tc>
          <w:tcPr>
            <w:tcW w:w="1515" w:type="dxa"/>
            <w:vAlign w:val="center"/>
          </w:tcPr>
          <w:p>
            <w:p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市级考核</w:t>
            </w:r>
          </w:p>
        </w:tc>
        <w:tc>
          <w:tcPr>
            <w:tcW w:w="1080" w:type="dxa"/>
            <w:vAlign w:val="center"/>
          </w:tcPr>
          <w:p>
            <w:pPr>
              <w:jc w:val="center"/>
              <w:rPr>
                <w:rFonts w:hint="eastAsia" w:ascii="仿宋_GB2312" w:hAnsi="仿宋_GB2312" w:eastAsia="仿宋_GB2312" w:cs="仿宋_GB2312"/>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1455" w:type="dxa"/>
            <w:vMerge w:val="continue"/>
            <w:vAlign w:val="center"/>
          </w:tcPr>
          <w:p>
            <w:pPr>
              <w:widowControl/>
              <w:jc w:val="center"/>
              <w:rPr>
                <w:rFonts w:hint="eastAsia" w:ascii="仿宋_GB2312" w:hAnsi="仿宋_GB2312" w:eastAsia="仿宋_GB2312" w:cs="仿宋_GB2312"/>
                <w:color w:val="000000"/>
                <w:kern w:val="0"/>
                <w:sz w:val="21"/>
                <w:szCs w:val="21"/>
                <w:lang w:val="en-US" w:eastAsia="zh-CN"/>
              </w:rPr>
            </w:pPr>
          </w:p>
        </w:tc>
        <w:tc>
          <w:tcPr>
            <w:tcW w:w="2476" w:type="dxa"/>
            <w:vAlign w:val="center"/>
          </w:tcPr>
          <w:p>
            <w:pPr>
              <w:widowControl/>
              <w:jc w:val="both"/>
              <w:rPr>
                <w:rFonts w:hint="default"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在上级组织的重大活动中表现突出，受到上级表彰</w:t>
            </w:r>
          </w:p>
        </w:tc>
        <w:tc>
          <w:tcPr>
            <w:tcW w:w="794" w:type="dxa"/>
            <w:vAlign w:val="center"/>
          </w:tcPr>
          <w:p>
            <w:pPr>
              <w:widowControl/>
              <w:jc w:val="center"/>
              <w:rPr>
                <w:rFonts w:hint="eastAsia" w:ascii="仿宋_GB2312" w:hAnsi="仿宋_GB2312" w:eastAsia="仿宋_GB2312" w:cs="仿宋_GB2312"/>
                <w:color w:val="000000"/>
                <w:kern w:val="0"/>
                <w:sz w:val="21"/>
                <w:szCs w:val="21"/>
              </w:rPr>
            </w:pPr>
          </w:p>
        </w:tc>
        <w:tc>
          <w:tcPr>
            <w:tcW w:w="5235" w:type="dxa"/>
            <w:vAlign w:val="center"/>
          </w:tcPr>
          <w:p>
            <w:pPr>
              <w:widowControl/>
              <w:numPr>
                <w:ilvl w:val="0"/>
                <w:numId w:val="0"/>
              </w:numPr>
              <w:jc w:val="both"/>
              <w:rPr>
                <w:rFonts w:hint="default" w:ascii="仿宋_GB2312" w:hAnsi="仿宋_GB2312" w:eastAsia="仿宋_GB2312" w:cs="仿宋_GB2312"/>
                <w:color w:val="000000"/>
                <w:kern w:val="0"/>
                <w:sz w:val="21"/>
                <w:szCs w:val="21"/>
                <w:lang w:val="en-US" w:eastAsia="zh-CN"/>
              </w:rPr>
            </w:pPr>
          </w:p>
        </w:tc>
        <w:tc>
          <w:tcPr>
            <w:tcW w:w="1620" w:type="dxa"/>
            <w:vAlign w:val="center"/>
          </w:tcPr>
          <w:p>
            <w:pPr>
              <w:jc w:val="left"/>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国家级表彰10分，省厅表彰加5分，市局表彰加2分</w:t>
            </w:r>
          </w:p>
        </w:tc>
        <w:tc>
          <w:tcPr>
            <w:tcW w:w="1515" w:type="dxa"/>
            <w:vAlign w:val="center"/>
          </w:tcPr>
          <w:p>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市级考核</w:t>
            </w:r>
          </w:p>
        </w:tc>
        <w:tc>
          <w:tcPr>
            <w:tcW w:w="1080" w:type="dxa"/>
            <w:vAlign w:val="center"/>
          </w:tcPr>
          <w:p>
            <w:pPr>
              <w:jc w:val="center"/>
              <w:rPr>
                <w:rFonts w:hint="eastAsia" w:ascii="仿宋_GB2312" w:hAnsi="仿宋_GB2312" w:eastAsia="仿宋_GB2312" w:cs="仿宋_GB2312"/>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1455" w:type="dxa"/>
            <w:vAlign w:val="center"/>
          </w:tcPr>
          <w:p>
            <w:pPr>
              <w:widowControl/>
              <w:jc w:val="center"/>
              <w:rPr>
                <w:rFonts w:hint="default"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合计</w:t>
            </w:r>
          </w:p>
        </w:tc>
        <w:tc>
          <w:tcPr>
            <w:tcW w:w="12720" w:type="dxa"/>
            <w:gridSpan w:val="6"/>
            <w:vAlign w:val="center"/>
          </w:tcPr>
          <w:p>
            <w:pPr>
              <w:jc w:val="center"/>
              <w:rPr>
                <w:rFonts w:hint="eastAsia" w:ascii="仿宋_GB2312" w:hAnsi="仿宋_GB2312" w:eastAsia="仿宋_GB2312" w:cs="仿宋_GB2312"/>
                <w:sz w:val="21"/>
                <w:szCs w:val="21"/>
                <w:vertAlign w:val="baseline"/>
              </w:rPr>
            </w:pPr>
          </w:p>
        </w:tc>
      </w:tr>
    </w:tbl>
    <w:p>
      <w:pPr>
        <w:rPr>
          <w:rFonts w:hint="default" w:eastAsiaTheme="minorEastAsia"/>
          <w:lang w:val="en-US" w:eastAsia="zh-CN"/>
        </w:rPr>
      </w:pPr>
      <w:r>
        <w:rPr>
          <w:rFonts w:hint="eastAsia"/>
          <w:lang w:val="en-US" w:eastAsia="zh-CN"/>
        </w:rPr>
        <w:t>注：此表满分为100分，符合的得相应分数，不符合的扣除相应分数，加分项可叠加。</w:t>
      </w:r>
    </w:p>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大标宋简体">
    <w:altName w:val="微软雅黑"/>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24411"/>
    <w:multiLevelType w:val="singleLevel"/>
    <w:tmpl w:val="0A024411"/>
    <w:lvl w:ilvl="0" w:tentative="0">
      <w:start w:val="1"/>
      <w:numFmt w:val="decimal"/>
      <w:suff w:val="nothing"/>
      <w:lvlText w:val="%1、"/>
      <w:lvlJc w:val="left"/>
    </w:lvl>
  </w:abstractNum>
  <w:abstractNum w:abstractNumId="1">
    <w:nsid w:val="75AC1EBB"/>
    <w:multiLevelType w:val="multilevel"/>
    <w:tmpl w:val="75AC1EBB"/>
    <w:lvl w:ilvl="0" w:tentative="0">
      <w:start w:val="1"/>
      <w:numFmt w:val="decimal"/>
      <w:lvlText w:val="%1"/>
      <w:lvlJc w:val="left"/>
      <w:pPr>
        <w:ind w:left="432" w:hanging="432"/>
      </w:pPr>
    </w:lvl>
    <w:lvl w:ilvl="1" w:tentative="0">
      <w:start w:val="1"/>
      <w:numFmt w:val="decimal"/>
      <w:lvlText w:val="%1.%2"/>
      <w:lvlJc w:val="left"/>
      <w:pPr>
        <w:ind w:left="718" w:hanging="576"/>
      </w:pPr>
      <w:rPr>
        <w:rFonts w:ascii="黑体" w:hAnsi="黑体" w:eastAsia="黑体"/>
        <w:b/>
        <w:sz w:val="28"/>
        <w:szCs w:val="28"/>
      </w:rPr>
    </w:lvl>
    <w:lvl w:ilvl="2" w:tentative="0">
      <w:start w:val="1"/>
      <w:numFmt w:val="decimal"/>
      <w:pStyle w:val="2"/>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
    <w:nsid w:val="7E501034"/>
    <w:multiLevelType w:val="singleLevel"/>
    <w:tmpl w:val="7E501034"/>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5A6B08"/>
    <w:rsid w:val="1F6F7098"/>
    <w:rsid w:val="2F0B1AC2"/>
    <w:rsid w:val="30913906"/>
    <w:rsid w:val="37FB31CF"/>
    <w:rsid w:val="46714EBC"/>
    <w:rsid w:val="4C215D81"/>
    <w:rsid w:val="57236F57"/>
    <w:rsid w:val="6D5A6B08"/>
    <w:rsid w:val="7C9648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qFormat/>
    <w:uiPriority w:val="9"/>
    <w:pPr>
      <w:widowControl/>
      <w:numPr>
        <w:ilvl w:val="2"/>
        <w:numId w:val="1"/>
      </w:numPr>
      <w:spacing w:before="200" w:line="271" w:lineRule="auto"/>
      <w:jc w:val="left"/>
      <w:outlineLvl w:val="2"/>
    </w:pPr>
    <w:rPr>
      <w:rFonts w:ascii="Cambria" w:hAnsi="Cambria" w:cs="Times New Roman"/>
      <w:i/>
      <w:iCs/>
      <w:smallCaps/>
      <w:spacing w:val="5"/>
      <w:kern w:val="0"/>
      <w:sz w:val="26"/>
      <w:szCs w:val="26"/>
    </w:rPr>
  </w:style>
  <w:style w:type="character" w:default="1" w:styleId="8">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2024-10-30T08:36:00Z</dcterms:created>
  <dc:creator>Administrator</dc:creator>
  <cp:lastModifiedBy>Leviathan</cp:lastModifiedBy>
  <cp:lastPrinted>2024-11-12T01:31:00Z</cp:lastPrinted>
  <dcterms:modified xsi:type="dcterms:W3CDTF">2024-11-25T08:42:27Z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ies>
</file>